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DED2A" w14:textId="77777777" w:rsidR="00346CA3" w:rsidRPr="00627066" w:rsidRDefault="003A3B93" w:rsidP="00627066">
      <w:pPr>
        <w:spacing w:before="120" w:after="120" w:line="240" w:lineRule="auto"/>
        <w:jc w:val="center"/>
        <w:rPr>
          <w:sz w:val="28"/>
          <w:szCs w:val="28"/>
        </w:rPr>
      </w:pPr>
      <w:bookmarkStart w:id="0" w:name="_GoBack"/>
      <w:r w:rsidRPr="00627066">
        <w:rPr>
          <w:b/>
          <w:color w:val="5A166B"/>
          <w:sz w:val="28"/>
          <w:szCs w:val="28"/>
        </w:rPr>
        <w:t>STAR Housing</w:t>
      </w:r>
    </w:p>
    <w:p w14:paraId="1A401C75" w14:textId="77777777" w:rsidR="00346CA3" w:rsidRPr="00627066" w:rsidRDefault="003A3B93" w:rsidP="00627066">
      <w:pPr>
        <w:spacing w:before="120" w:after="120" w:line="240" w:lineRule="auto"/>
        <w:jc w:val="center"/>
        <w:rPr>
          <w:b/>
          <w:color w:val="5A166B"/>
          <w:sz w:val="28"/>
          <w:szCs w:val="28"/>
        </w:rPr>
      </w:pPr>
      <w:r w:rsidRPr="00627066">
        <w:rPr>
          <w:b/>
          <w:color w:val="5A166B"/>
          <w:sz w:val="28"/>
          <w:szCs w:val="28"/>
        </w:rPr>
        <w:t>Co-</w:t>
      </w:r>
      <w:proofErr w:type="spellStart"/>
      <w:r w:rsidRPr="00627066">
        <w:rPr>
          <w:b/>
          <w:color w:val="5A166B"/>
          <w:sz w:val="28"/>
          <w:szCs w:val="28"/>
        </w:rPr>
        <w:t>optee</w:t>
      </w:r>
      <w:proofErr w:type="spellEnd"/>
      <w:r w:rsidRPr="00627066">
        <w:rPr>
          <w:b/>
          <w:color w:val="5A166B"/>
          <w:sz w:val="28"/>
          <w:szCs w:val="28"/>
        </w:rPr>
        <w:t xml:space="preserve"> Board Member Role Description and Person Specification</w:t>
      </w:r>
    </w:p>
    <w:p w14:paraId="73B6347B" w14:textId="77777777" w:rsidR="00627066" w:rsidRPr="00627066" w:rsidRDefault="00627066" w:rsidP="00627066">
      <w:pPr>
        <w:spacing w:before="120" w:after="120" w:line="240" w:lineRule="auto"/>
        <w:rPr>
          <w:sz w:val="22"/>
        </w:rPr>
      </w:pPr>
    </w:p>
    <w:p w14:paraId="289070D3" w14:textId="77777777" w:rsidR="00346CA3" w:rsidRDefault="003A3B93" w:rsidP="00627066">
      <w:pPr>
        <w:spacing w:before="120" w:after="120" w:line="240" w:lineRule="auto"/>
        <w:jc w:val="center"/>
        <w:rPr>
          <w:i/>
          <w:sz w:val="22"/>
        </w:rPr>
      </w:pPr>
      <w:r w:rsidRPr="00627066">
        <w:rPr>
          <w:i/>
          <w:sz w:val="22"/>
        </w:rPr>
        <w:t>Finance, Audit and Risk | Development, Sustainability and Strategic Investment | Asset Management</w:t>
      </w:r>
    </w:p>
    <w:bookmarkEnd w:id="0"/>
    <w:p w14:paraId="39AE8138" w14:textId="77777777" w:rsidR="00627066" w:rsidRDefault="00627066" w:rsidP="00627066">
      <w:pPr>
        <w:spacing w:before="120" w:after="120" w:line="240" w:lineRule="auto"/>
        <w:rPr>
          <w:sz w:val="22"/>
        </w:rPr>
      </w:pPr>
    </w:p>
    <w:p w14:paraId="4963AB98" w14:textId="77777777" w:rsidR="00627066" w:rsidRPr="00627066" w:rsidRDefault="00627066" w:rsidP="00627066">
      <w:pPr>
        <w:spacing w:before="120" w:after="120" w:line="240" w:lineRule="auto"/>
        <w:rPr>
          <w:sz w:val="22"/>
        </w:rPr>
      </w:pPr>
    </w:p>
    <w:p w14:paraId="5E12EBDB" w14:textId="16EF0AA0" w:rsidR="00627066" w:rsidRPr="00627066" w:rsidRDefault="003A3B93" w:rsidP="00627066">
      <w:pPr>
        <w:pStyle w:val="Heading1"/>
        <w:spacing w:before="120" w:after="120" w:line="240" w:lineRule="auto"/>
        <w:rPr>
          <w:rFonts w:ascii="Arial" w:hAnsi="Arial"/>
          <w:color w:val="5A166B"/>
          <w:szCs w:val="24"/>
        </w:rPr>
      </w:pPr>
      <w:r w:rsidRPr="00627066">
        <w:rPr>
          <w:rFonts w:ascii="Arial" w:hAnsi="Arial"/>
          <w:color w:val="5A166B"/>
          <w:szCs w:val="24"/>
        </w:rPr>
        <w:t>Role Description</w:t>
      </w:r>
    </w:p>
    <w:tbl>
      <w:tblPr>
        <w:tblStyle w:val="TableGrid"/>
        <w:tblW w:w="0" w:type="auto"/>
        <w:jc w:val="center"/>
        <w:tblLook w:val="04A0" w:firstRow="1" w:lastRow="0" w:firstColumn="1" w:lastColumn="0" w:noHBand="0" w:noVBand="1"/>
      </w:tblPr>
      <w:tblGrid>
        <w:gridCol w:w="2551"/>
        <w:gridCol w:w="7663"/>
      </w:tblGrid>
      <w:tr w:rsidR="00346CA3" w:rsidRPr="00627066" w14:paraId="6B127528" w14:textId="77777777" w:rsidTr="00627066">
        <w:trPr>
          <w:jc w:val="center"/>
        </w:trPr>
        <w:tc>
          <w:tcPr>
            <w:tcW w:w="2552" w:type="dxa"/>
            <w:shd w:val="clear" w:color="auto" w:fill="5A166B"/>
            <w:vAlign w:val="center"/>
          </w:tcPr>
          <w:p w14:paraId="1BB44F0D" w14:textId="77777777" w:rsidR="00346CA3" w:rsidRPr="00627066" w:rsidRDefault="003A3B93" w:rsidP="00627066">
            <w:pPr>
              <w:spacing w:before="120" w:after="120"/>
              <w:rPr>
                <w:sz w:val="22"/>
              </w:rPr>
            </w:pPr>
            <w:r w:rsidRPr="00627066">
              <w:rPr>
                <w:b/>
                <w:color w:val="FFFFFF"/>
                <w:sz w:val="22"/>
              </w:rPr>
              <w:t>Title</w:t>
            </w:r>
          </w:p>
        </w:tc>
        <w:tc>
          <w:tcPr>
            <w:tcW w:w="7672" w:type="dxa"/>
            <w:vAlign w:val="center"/>
          </w:tcPr>
          <w:p w14:paraId="6F49536D" w14:textId="77777777" w:rsidR="00346CA3" w:rsidRPr="00627066" w:rsidRDefault="003A3B93" w:rsidP="00627066">
            <w:pPr>
              <w:spacing w:before="120" w:after="120"/>
              <w:rPr>
                <w:sz w:val="22"/>
              </w:rPr>
            </w:pPr>
            <w:r w:rsidRPr="00627066">
              <w:rPr>
                <w:sz w:val="22"/>
              </w:rPr>
              <w:t>Co-optee Board Member</w:t>
            </w:r>
          </w:p>
        </w:tc>
      </w:tr>
      <w:tr w:rsidR="00346CA3" w:rsidRPr="00627066" w14:paraId="75E228AE" w14:textId="77777777" w:rsidTr="00627066">
        <w:trPr>
          <w:jc w:val="center"/>
        </w:trPr>
        <w:tc>
          <w:tcPr>
            <w:tcW w:w="2552" w:type="dxa"/>
            <w:shd w:val="clear" w:color="auto" w:fill="5A166B"/>
            <w:vAlign w:val="center"/>
          </w:tcPr>
          <w:p w14:paraId="3E256369" w14:textId="77777777" w:rsidR="00346CA3" w:rsidRPr="00627066" w:rsidRDefault="003A3B93" w:rsidP="00627066">
            <w:pPr>
              <w:spacing w:before="120" w:after="120"/>
              <w:rPr>
                <w:sz w:val="22"/>
              </w:rPr>
            </w:pPr>
            <w:r w:rsidRPr="00627066">
              <w:rPr>
                <w:b/>
                <w:color w:val="FFFFFF"/>
                <w:sz w:val="22"/>
              </w:rPr>
              <w:t>Role focus</w:t>
            </w:r>
          </w:p>
        </w:tc>
        <w:tc>
          <w:tcPr>
            <w:tcW w:w="7672" w:type="dxa"/>
            <w:vAlign w:val="center"/>
          </w:tcPr>
          <w:p w14:paraId="3B6391EE" w14:textId="77777777" w:rsidR="00346CA3" w:rsidRPr="00627066" w:rsidRDefault="003A3B93" w:rsidP="00627066">
            <w:pPr>
              <w:spacing w:before="120" w:after="120"/>
              <w:rPr>
                <w:sz w:val="22"/>
              </w:rPr>
            </w:pPr>
            <w:r w:rsidRPr="00627066">
              <w:rPr>
                <w:sz w:val="22"/>
              </w:rPr>
              <w:t xml:space="preserve">Finance, Audit and </w:t>
            </w:r>
            <w:r w:rsidRPr="00627066">
              <w:rPr>
                <w:sz w:val="22"/>
              </w:rPr>
              <w:t>Risk; Development; and Asset Management</w:t>
            </w:r>
          </w:p>
        </w:tc>
      </w:tr>
      <w:tr w:rsidR="00346CA3" w:rsidRPr="00627066" w14:paraId="1D4E32A9" w14:textId="77777777" w:rsidTr="00627066">
        <w:trPr>
          <w:jc w:val="center"/>
        </w:trPr>
        <w:tc>
          <w:tcPr>
            <w:tcW w:w="2552" w:type="dxa"/>
            <w:shd w:val="clear" w:color="auto" w:fill="5A166B"/>
            <w:vAlign w:val="center"/>
          </w:tcPr>
          <w:p w14:paraId="003F9785" w14:textId="77777777" w:rsidR="00346CA3" w:rsidRPr="00627066" w:rsidRDefault="003A3B93" w:rsidP="00627066">
            <w:pPr>
              <w:spacing w:before="120" w:after="120"/>
              <w:rPr>
                <w:sz w:val="22"/>
              </w:rPr>
            </w:pPr>
            <w:r w:rsidRPr="00627066">
              <w:rPr>
                <w:b/>
                <w:color w:val="FFFFFF"/>
                <w:sz w:val="22"/>
              </w:rPr>
              <w:t>Responsible to</w:t>
            </w:r>
          </w:p>
        </w:tc>
        <w:tc>
          <w:tcPr>
            <w:tcW w:w="7672" w:type="dxa"/>
            <w:vAlign w:val="center"/>
          </w:tcPr>
          <w:p w14:paraId="22A489FB" w14:textId="77777777" w:rsidR="00346CA3" w:rsidRPr="00627066" w:rsidRDefault="003A3B93" w:rsidP="00627066">
            <w:pPr>
              <w:spacing w:before="120" w:after="120"/>
              <w:rPr>
                <w:sz w:val="22"/>
              </w:rPr>
            </w:pPr>
            <w:r w:rsidRPr="00627066">
              <w:rPr>
                <w:sz w:val="22"/>
              </w:rPr>
              <w:t>Chair of the Board</w:t>
            </w:r>
          </w:p>
        </w:tc>
      </w:tr>
      <w:tr w:rsidR="00346CA3" w:rsidRPr="00627066" w14:paraId="61175961" w14:textId="77777777" w:rsidTr="00627066">
        <w:trPr>
          <w:jc w:val="center"/>
        </w:trPr>
        <w:tc>
          <w:tcPr>
            <w:tcW w:w="2552" w:type="dxa"/>
            <w:shd w:val="clear" w:color="auto" w:fill="5A166B"/>
            <w:vAlign w:val="center"/>
          </w:tcPr>
          <w:p w14:paraId="5BFA4267" w14:textId="77777777" w:rsidR="00346CA3" w:rsidRPr="00627066" w:rsidRDefault="003A3B93" w:rsidP="00627066">
            <w:pPr>
              <w:spacing w:before="120" w:after="120"/>
              <w:rPr>
                <w:sz w:val="22"/>
              </w:rPr>
            </w:pPr>
            <w:r w:rsidRPr="00627066">
              <w:rPr>
                <w:b/>
                <w:color w:val="FFFFFF"/>
                <w:sz w:val="22"/>
              </w:rPr>
              <w:t>Accountable through</w:t>
            </w:r>
          </w:p>
        </w:tc>
        <w:tc>
          <w:tcPr>
            <w:tcW w:w="7672" w:type="dxa"/>
            <w:vAlign w:val="center"/>
          </w:tcPr>
          <w:p w14:paraId="2AD24E6C" w14:textId="77777777" w:rsidR="00346CA3" w:rsidRPr="00627066" w:rsidRDefault="003A3B93" w:rsidP="00627066">
            <w:pPr>
              <w:spacing w:before="120" w:after="120"/>
              <w:rPr>
                <w:sz w:val="22"/>
              </w:rPr>
            </w:pPr>
            <w:r w:rsidRPr="00627066">
              <w:rPr>
                <w:sz w:val="22"/>
              </w:rPr>
              <w:t>STAR Housing Board and the relevant Board Subcommittee</w:t>
            </w:r>
          </w:p>
        </w:tc>
      </w:tr>
      <w:tr w:rsidR="00346CA3" w:rsidRPr="00627066" w14:paraId="43EA1F90" w14:textId="77777777" w:rsidTr="00627066">
        <w:trPr>
          <w:jc w:val="center"/>
        </w:trPr>
        <w:tc>
          <w:tcPr>
            <w:tcW w:w="2552" w:type="dxa"/>
            <w:shd w:val="clear" w:color="auto" w:fill="5A166B"/>
            <w:vAlign w:val="center"/>
          </w:tcPr>
          <w:p w14:paraId="57CCB767" w14:textId="77777777" w:rsidR="00346CA3" w:rsidRPr="00627066" w:rsidRDefault="003A3B93" w:rsidP="00627066">
            <w:pPr>
              <w:spacing w:before="120" w:after="120"/>
              <w:rPr>
                <w:sz w:val="22"/>
              </w:rPr>
            </w:pPr>
            <w:r w:rsidRPr="00627066">
              <w:rPr>
                <w:b/>
                <w:color w:val="FFFFFF"/>
                <w:sz w:val="22"/>
              </w:rPr>
              <w:t>Remuneration</w:t>
            </w:r>
          </w:p>
        </w:tc>
        <w:tc>
          <w:tcPr>
            <w:tcW w:w="7672" w:type="dxa"/>
            <w:vAlign w:val="center"/>
          </w:tcPr>
          <w:p w14:paraId="63A4CA19" w14:textId="77777777" w:rsidR="00346CA3" w:rsidRPr="00627066" w:rsidRDefault="003A3B93" w:rsidP="00627066">
            <w:pPr>
              <w:spacing w:before="120" w:after="120"/>
              <w:rPr>
                <w:sz w:val="22"/>
              </w:rPr>
            </w:pPr>
            <w:r w:rsidRPr="00627066">
              <w:rPr>
                <w:sz w:val="22"/>
              </w:rPr>
              <w:t>£1,500 per annum</w:t>
            </w:r>
          </w:p>
        </w:tc>
      </w:tr>
      <w:tr w:rsidR="00346CA3" w:rsidRPr="00627066" w14:paraId="2310B55D" w14:textId="77777777" w:rsidTr="00627066">
        <w:trPr>
          <w:jc w:val="center"/>
        </w:trPr>
        <w:tc>
          <w:tcPr>
            <w:tcW w:w="2552" w:type="dxa"/>
            <w:shd w:val="clear" w:color="auto" w:fill="5A166B"/>
            <w:vAlign w:val="center"/>
          </w:tcPr>
          <w:p w14:paraId="07C9A22B" w14:textId="77777777" w:rsidR="00346CA3" w:rsidRPr="00627066" w:rsidRDefault="003A3B93" w:rsidP="00627066">
            <w:pPr>
              <w:spacing w:before="120" w:after="120"/>
              <w:rPr>
                <w:sz w:val="22"/>
              </w:rPr>
            </w:pPr>
            <w:r w:rsidRPr="00627066">
              <w:rPr>
                <w:b/>
                <w:color w:val="FFFFFF"/>
                <w:sz w:val="22"/>
              </w:rPr>
              <w:t>Term of office</w:t>
            </w:r>
          </w:p>
        </w:tc>
        <w:tc>
          <w:tcPr>
            <w:tcW w:w="7672" w:type="dxa"/>
            <w:vAlign w:val="center"/>
          </w:tcPr>
          <w:p w14:paraId="5D5F10B4" w14:textId="7645C2E8" w:rsidR="00346CA3" w:rsidRPr="00627066" w:rsidRDefault="00BC1408" w:rsidP="00627066">
            <w:pPr>
              <w:spacing w:before="120" w:after="120"/>
              <w:rPr>
                <w:sz w:val="22"/>
              </w:rPr>
            </w:pPr>
            <w:r w:rsidRPr="00BC1408">
              <w:rPr>
                <w:sz w:val="22"/>
              </w:rPr>
              <w:t>3 years, with a maximum of 9 years in office</w:t>
            </w:r>
          </w:p>
        </w:tc>
      </w:tr>
      <w:tr w:rsidR="00346CA3" w:rsidRPr="00627066" w14:paraId="70CB54D2" w14:textId="77777777" w:rsidTr="00627066">
        <w:trPr>
          <w:jc w:val="center"/>
        </w:trPr>
        <w:tc>
          <w:tcPr>
            <w:tcW w:w="2552" w:type="dxa"/>
            <w:shd w:val="clear" w:color="auto" w:fill="5A166B"/>
            <w:vAlign w:val="center"/>
          </w:tcPr>
          <w:p w14:paraId="530A80CF" w14:textId="77777777" w:rsidR="00346CA3" w:rsidRPr="00627066" w:rsidRDefault="003A3B93" w:rsidP="00627066">
            <w:pPr>
              <w:spacing w:before="120" w:after="120"/>
              <w:rPr>
                <w:sz w:val="22"/>
              </w:rPr>
            </w:pPr>
            <w:r w:rsidRPr="00627066">
              <w:rPr>
                <w:b/>
                <w:color w:val="FFFFFF"/>
                <w:sz w:val="22"/>
              </w:rPr>
              <w:t>Status of role</w:t>
            </w:r>
          </w:p>
        </w:tc>
        <w:tc>
          <w:tcPr>
            <w:tcW w:w="7672" w:type="dxa"/>
            <w:vAlign w:val="center"/>
          </w:tcPr>
          <w:p w14:paraId="54FC5EBD" w14:textId="77777777" w:rsidR="00346CA3" w:rsidRPr="00627066" w:rsidRDefault="003A3B93" w:rsidP="00627066">
            <w:pPr>
              <w:spacing w:before="120" w:after="120"/>
              <w:rPr>
                <w:sz w:val="22"/>
              </w:rPr>
            </w:pPr>
            <w:r w:rsidRPr="00627066">
              <w:rPr>
                <w:sz w:val="22"/>
              </w:rPr>
              <w:t>Non-executive co-optee role. The postholder is not responsible for day-to-day management or operational delivery.</w:t>
            </w:r>
          </w:p>
        </w:tc>
      </w:tr>
    </w:tbl>
    <w:p w14:paraId="13DB1493" w14:textId="77777777" w:rsidR="00627066" w:rsidRDefault="00627066" w:rsidP="00627066">
      <w:pPr>
        <w:jc w:val="both"/>
      </w:pPr>
    </w:p>
    <w:p w14:paraId="4381E62A" w14:textId="10FEA3B5" w:rsidR="00346CA3" w:rsidRPr="00627066" w:rsidRDefault="003A3B93" w:rsidP="00627066">
      <w:pPr>
        <w:pStyle w:val="Heading1"/>
        <w:spacing w:before="120" w:after="120" w:line="240" w:lineRule="auto"/>
        <w:jc w:val="both"/>
        <w:rPr>
          <w:szCs w:val="24"/>
        </w:rPr>
      </w:pPr>
      <w:r w:rsidRPr="00627066">
        <w:rPr>
          <w:rFonts w:ascii="Arial" w:hAnsi="Arial"/>
          <w:color w:val="5A166B"/>
          <w:szCs w:val="24"/>
        </w:rPr>
        <w:t>Purpose of the Role</w:t>
      </w:r>
    </w:p>
    <w:p w14:paraId="6967A60F" w14:textId="77777777" w:rsidR="00346CA3" w:rsidRPr="00627066" w:rsidRDefault="003A3B93" w:rsidP="00627066">
      <w:pPr>
        <w:spacing w:before="120" w:after="120" w:line="240" w:lineRule="auto"/>
        <w:jc w:val="both"/>
        <w:rPr>
          <w:sz w:val="22"/>
        </w:rPr>
      </w:pPr>
      <w:r w:rsidRPr="00627066">
        <w:rPr>
          <w:sz w:val="22"/>
        </w:rPr>
        <w:t xml:space="preserve">The purpose of the Co-optee Board Member role is to bring independent expertise, constructive </w:t>
      </w:r>
      <w:r w:rsidRPr="00627066">
        <w:rPr>
          <w:sz w:val="22"/>
        </w:rPr>
        <w:t>challenge and additional assurance to the STAR Housing Board and its subcommittees. The role will support effective governance and decision-making in relation to finance, audit and risk, development, regeneration, strategic investment and asset management.</w:t>
      </w:r>
    </w:p>
    <w:p w14:paraId="485A6E42" w14:textId="77777777" w:rsidR="00346CA3" w:rsidRDefault="003A3B93" w:rsidP="00627066">
      <w:pPr>
        <w:spacing w:before="120" w:after="120" w:line="240" w:lineRule="auto"/>
        <w:jc w:val="both"/>
        <w:rPr>
          <w:sz w:val="22"/>
        </w:rPr>
      </w:pPr>
      <w:r w:rsidRPr="00627066">
        <w:rPr>
          <w:sz w:val="22"/>
        </w:rPr>
        <w:t>The Co-optee Board Member will contribute to STAR Housing’s strategic direction, support robust scrutiny of business plans and investment proposals, and help ensure that decisions are informed by strong evidence, sound risk management, value for money and</w:t>
      </w:r>
      <w:r w:rsidRPr="00627066">
        <w:rPr>
          <w:sz w:val="22"/>
        </w:rPr>
        <w:t xml:space="preserve"> the long-term interests of tenants, customers, the Council shareholder and the Housing Revenue Account.</w:t>
      </w:r>
    </w:p>
    <w:p w14:paraId="382E5B3D" w14:textId="77777777" w:rsidR="00627066" w:rsidRPr="00627066" w:rsidRDefault="00627066" w:rsidP="00627066">
      <w:pPr>
        <w:spacing w:before="120" w:after="120" w:line="240" w:lineRule="auto"/>
        <w:jc w:val="both"/>
        <w:rPr>
          <w:sz w:val="22"/>
        </w:rPr>
      </w:pPr>
    </w:p>
    <w:p w14:paraId="5044A787" w14:textId="77777777" w:rsidR="00346CA3" w:rsidRPr="00627066" w:rsidRDefault="003A3B93" w:rsidP="00627066">
      <w:pPr>
        <w:pStyle w:val="Heading1"/>
        <w:spacing w:before="120" w:after="120" w:line="240" w:lineRule="auto"/>
        <w:jc w:val="both"/>
        <w:rPr>
          <w:szCs w:val="24"/>
        </w:rPr>
      </w:pPr>
      <w:r w:rsidRPr="00627066">
        <w:rPr>
          <w:rFonts w:ascii="Arial" w:hAnsi="Arial"/>
          <w:color w:val="5A166B"/>
          <w:szCs w:val="24"/>
        </w:rPr>
        <w:t>Context</w:t>
      </w:r>
    </w:p>
    <w:p w14:paraId="74DBBFCE" w14:textId="77777777" w:rsidR="00346CA3" w:rsidRPr="00627066" w:rsidRDefault="003A3B93" w:rsidP="00627066">
      <w:pPr>
        <w:spacing w:before="120" w:after="120" w:line="240" w:lineRule="auto"/>
        <w:jc w:val="both"/>
        <w:rPr>
          <w:sz w:val="22"/>
        </w:rPr>
      </w:pPr>
      <w:r w:rsidRPr="00627066">
        <w:rPr>
          <w:sz w:val="22"/>
        </w:rPr>
        <w:t xml:space="preserve">STAR Housing is an Arm’s Length Management Organisation owned by Shropshire Council. STAR manages homes and delivers housing services on </w:t>
      </w:r>
      <w:r w:rsidRPr="00627066">
        <w:rPr>
          <w:sz w:val="22"/>
        </w:rPr>
        <w:t>behalf of the Council under the Management Agreement. The Board provides strategic leadership, assurance and oversight, while day-to-day management is delegated to the executive team.</w:t>
      </w:r>
    </w:p>
    <w:p w14:paraId="2D5A32E7" w14:textId="77777777" w:rsidR="00346CA3" w:rsidRDefault="003A3B93" w:rsidP="00627066">
      <w:pPr>
        <w:spacing w:before="120" w:after="120" w:line="240" w:lineRule="auto"/>
        <w:jc w:val="both"/>
        <w:rPr>
          <w:sz w:val="22"/>
        </w:rPr>
      </w:pPr>
      <w:r w:rsidRPr="00627066">
        <w:rPr>
          <w:sz w:val="22"/>
        </w:rPr>
        <w:t>The current co-optee recruitment is intended to strengthen Board and sub</w:t>
      </w:r>
      <w:r w:rsidRPr="00627066">
        <w:rPr>
          <w:sz w:val="22"/>
        </w:rPr>
        <w:t>committee capacity in two key areas: Finance, Audit and Risk, including Housing Revenue Account finance; and Development, Sustainability, Strategic Investment and Asset Management.</w:t>
      </w:r>
    </w:p>
    <w:p w14:paraId="6CBAB40E" w14:textId="77777777" w:rsidR="00627066" w:rsidRPr="00627066" w:rsidRDefault="00627066" w:rsidP="00627066">
      <w:pPr>
        <w:spacing w:before="120" w:after="120" w:line="240" w:lineRule="auto"/>
        <w:jc w:val="both"/>
        <w:rPr>
          <w:sz w:val="22"/>
        </w:rPr>
      </w:pPr>
    </w:p>
    <w:p w14:paraId="785FA580" w14:textId="77777777" w:rsidR="00346CA3" w:rsidRPr="00627066" w:rsidRDefault="003A3B93" w:rsidP="00627066">
      <w:pPr>
        <w:pStyle w:val="Heading1"/>
        <w:spacing w:before="120" w:after="120" w:line="240" w:lineRule="auto"/>
        <w:jc w:val="both"/>
        <w:rPr>
          <w:szCs w:val="24"/>
        </w:rPr>
      </w:pPr>
      <w:r w:rsidRPr="00627066">
        <w:rPr>
          <w:rFonts w:ascii="Arial" w:hAnsi="Arial"/>
          <w:color w:val="5A166B"/>
          <w:szCs w:val="24"/>
        </w:rPr>
        <w:lastRenderedPageBreak/>
        <w:t>Key Areas of Contribution</w:t>
      </w:r>
    </w:p>
    <w:p w14:paraId="085D1AB0" w14:textId="77777777" w:rsidR="00346CA3" w:rsidRPr="00034575" w:rsidRDefault="003A3B93" w:rsidP="00627066">
      <w:pPr>
        <w:pStyle w:val="Heading2"/>
        <w:spacing w:before="120" w:after="120" w:line="240" w:lineRule="auto"/>
        <w:jc w:val="both"/>
        <w:rPr>
          <w:color w:val="B2A1C7" w:themeColor="accent4" w:themeTint="99"/>
          <w:szCs w:val="24"/>
        </w:rPr>
      </w:pPr>
      <w:r w:rsidRPr="00034575">
        <w:rPr>
          <w:rFonts w:ascii="Arial" w:hAnsi="Arial"/>
          <w:color w:val="B2A1C7" w:themeColor="accent4" w:themeTint="99"/>
          <w:szCs w:val="24"/>
        </w:rPr>
        <w:t>Finance, Audit and Risk</w:t>
      </w:r>
    </w:p>
    <w:p w14:paraId="76D576B9" w14:textId="77777777" w:rsidR="00346CA3" w:rsidRPr="00627066" w:rsidRDefault="003A3B93" w:rsidP="00627066">
      <w:pPr>
        <w:pStyle w:val="ListBullet"/>
        <w:tabs>
          <w:tab w:val="clear" w:pos="360"/>
        </w:tabs>
        <w:spacing w:before="120" w:after="120" w:line="240" w:lineRule="auto"/>
        <w:ind w:left="357" w:hanging="357"/>
        <w:contextualSpacing w:val="0"/>
        <w:jc w:val="both"/>
        <w:rPr>
          <w:sz w:val="22"/>
        </w:rPr>
      </w:pPr>
      <w:r w:rsidRPr="00627066">
        <w:rPr>
          <w:sz w:val="22"/>
        </w:rPr>
        <w:t>Provide independent chal</w:t>
      </w:r>
      <w:r w:rsidRPr="00627066">
        <w:rPr>
          <w:sz w:val="22"/>
        </w:rPr>
        <w:t>lenge and assurance on financial strategy, budgets, medium-term financial planning and long-term financial sustainability.</w:t>
      </w:r>
    </w:p>
    <w:p w14:paraId="76389E86" w14:textId="77777777" w:rsidR="00346CA3" w:rsidRPr="00627066" w:rsidRDefault="003A3B93" w:rsidP="00627066">
      <w:pPr>
        <w:pStyle w:val="ListBullet"/>
        <w:tabs>
          <w:tab w:val="clear" w:pos="360"/>
        </w:tabs>
        <w:spacing w:before="120" w:after="120" w:line="240" w:lineRule="auto"/>
        <w:ind w:left="357" w:hanging="357"/>
        <w:contextualSpacing w:val="0"/>
        <w:jc w:val="both"/>
        <w:rPr>
          <w:sz w:val="22"/>
        </w:rPr>
      </w:pPr>
      <w:r w:rsidRPr="00627066">
        <w:rPr>
          <w:sz w:val="22"/>
        </w:rPr>
        <w:t>Support scrutiny of the Housing Revenue Account, management fee, works fee, capital programme, treasury assumptions and financial res</w:t>
      </w:r>
      <w:r w:rsidRPr="00627066">
        <w:rPr>
          <w:sz w:val="22"/>
        </w:rPr>
        <w:t>ilience.</w:t>
      </w:r>
    </w:p>
    <w:p w14:paraId="75267CAD" w14:textId="77777777" w:rsidR="00346CA3" w:rsidRPr="00627066" w:rsidRDefault="003A3B93" w:rsidP="00627066">
      <w:pPr>
        <w:pStyle w:val="ListBullet"/>
        <w:tabs>
          <w:tab w:val="clear" w:pos="360"/>
        </w:tabs>
        <w:spacing w:before="120" w:after="120" w:line="240" w:lineRule="auto"/>
        <w:ind w:left="357" w:hanging="357"/>
        <w:contextualSpacing w:val="0"/>
        <w:jc w:val="both"/>
        <w:rPr>
          <w:sz w:val="22"/>
        </w:rPr>
      </w:pPr>
      <w:r w:rsidRPr="00627066">
        <w:rPr>
          <w:sz w:val="22"/>
        </w:rPr>
        <w:t>Contribute to oversight of internal audit, external audit, risk management, governance, financial controls and value for money.</w:t>
      </w:r>
    </w:p>
    <w:p w14:paraId="6089FEBE" w14:textId="77777777" w:rsidR="00346CA3" w:rsidRPr="00627066" w:rsidRDefault="003A3B93" w:rsidP="00627066">
      <w:pPr>
        <w:pStyle w:val="ListBullet"/>
        <w:tabs>
          <w:tab w:val="clear" w:pos="360"/>
        </w:tabs>
        <w:spacing w:before="120" w:after="120" w:line="240" w:lineRule="auto"/>
        <w:ind w:left="357" w:hanging="357"/>
        <w:contextualSpacing w:val="0"/>
        <w:jc w:val="both"/>
        <w:rPr>
          <w:sz w:val="22"/>
        </w:rPr>
      </w:pPr>
      <w:r w:rsidRPr="00627066">
        <w:rPr>
          <w:sz w:val="22"/>
        </w:rPr>
        <w:t xml:space="preserve">Challenge financial assumptions, stress testing, affordability, funding routes and the financial implications of major </w:t>
      </w:r>
      <w:r w:rsidRPr="00627066">
        <w:rPr>
          <w:sz w:val="22"/>
        </w:rPr>
        <w:t>decisions.</w:t>
      </w:r>
    </w:p>
    <w:p w14:paraId="28FEAFA4" w14:textId="77777777" w:rsidR="00346CA3" w:rsidRDefault="003A3B93" w:rsidP="00627066">
      <w:pPr>
        <w:pStyle w:val="ListBullet"/>
        <w:tabs>
          <w:tab w:val="clear" w:pos="360"/>
        </w:tabs>
        <w:spacing w:before="120" w:after="120" w:line="240" w:lineRule="auto"/>
        <w:ind w:left="357" w:hanging="357"/>
        <w:contextualSpacing w:val="0"/>
        <w:jc w:val="both"/>
        <w:rPr>
          <w:sz w:val="22"/>
        </w:rPr>
      </w:pPr>
      <w:r w:rsidRPr="00627066">
        <w:rPr>
          <w:sz w:val="22"/>
        </w:rPr>
        <w:t>Support the Board and Finance, Audit and Risk Subcommittee in ensuring that financial reporting is clear, transparent, accurate and decision-useful.</w:t>
      </w:r>
    </w:p>
    <w:p w14:paraId="2B1C3BCB" w14:textId="77777777" w:rsidR="00627066" w:rsidRPr="00627066" w:rsidRDefault="00627066" w:rsidP="00627066">
      <w:pPr>
        <w:pStyle w:val="ListBullet"/>
        <w:numPr>
          <w:ilvl w:val="0"/>
          <w:numId w:val="0"/>
        </w:numPr>
        <w:spacing w:before="120" w:after="120" w:line="240" w:lineRule="auto"/>
        <w:contextualSpacing w:val="0"/>
        <w:jc w:val="both"/>
        <w:rPr>
          <w:sz w:val="22"/>
        </w:rPr>
      </w:pPr>
    </w:p>
    <w:p w14:paraId="4DA500A4" w14:textId="2D08461D" w:rsidR="00346CA3" w:rsidRPr="00034575" w:rsidRDefault="003A3B93" w:rsidP="00627066">
      <w:pPr>
        <w:pStyle w:val="Heading2"/>
        <w:spacing w:before="120" w:after="120" w:line="240" w:lineRule="auto"/>
        <w:jc w:val="both"/>
        <w:rPr>
          <w:color w:val="B2A1C7" w:themeColor="accent4" w:themeTint="99"/>
          <w:szCs w:val="24"/>
        </w:rPr>
      </w:pPr>
      <w:r w:rsidRPr="00034575">
        <w:rPr>
          <w:rFonts w:ascii="Arial" w:hAnsi="Arial"/>
          <w:color w:val="B2A1C7" w:themeColor="accent4" w:themeTint="99"/>
          <w:szCs w:val="24"/>
        </w:rPr>
        <w:t xml:space="preserve">Development, </w:t>
      </w:r>
      <w:r w:rsidR="000A2C4B" w:rsidRPr="000A2C4B">
        <w:rPr>
          <w:rFonts w:ascii="Arial" w:hAnsi="Arial"/>
          <w:color w:val="B2A1C7" w:themeColor="accent4" w:themeTint="99"/>
          <w:szCs w:val="24"/>
        </w:rPr>
        <w:t>Sustainability</w:t>
      </w:r>
      <w:r w:rsidR="000A2C4B">
        <w:rPr>
          <w:rFonts w:ascii="Arial" w:hAnsi="Arial"/>
          <w:color w:val="B2A1C7" w:themeColor="accent4" w:themeTint="99"/>
          <w:szCs w:val="24"/>
        </w:rPr>
        <w:t xml:space="preserve">, </w:t>
      </w:r>
      <w:r w:rsidRPr="00034575">
        <w:rPr>
          <w:rFonts w:ascii="Arial" w:hAnsi="Arial"/>
          <w:color w:val="B2A1C7" w:themeColor="accent4" w:themeTint="99"/>
          <w:szCs w:val="24"/>
        </w:rPr>
        <w:t>Strategic Investment and Asset Management</w:t>
      </w:r>
    </w:p>
    <w:p w14:paraId="4E167A28" w14:textId="77777777" w:rsidR="00346CA3" w:rsidRPr="00627066" w:rsidRDefault="003A3B93" w:rsidP="00627066">
      <w:pPr>
        <w:pStyle w:val="ListBullet"/>
        <w:tabs>
          <w:tab w:val="clear" w:pos="360"/>
        </w:tabs>
        <w:spacing w:before="120" w:after="120" w:line="240" w:lineRule="auto"/>
        <w:ind w:left="357" w:hanging="357"/>
        <w:contextualSpacing w:val="0"/>
        <w:jc w:val="both"/>
        <w:rPr>
          <w:sz w:val="22"/>
        </w:rPr>
      </w:pPr>
      <w:r w:rsidRPr="00627066">
        <w:rPr>
          <w:sz w:val="22"/>
        </w:rPr>
        <w:t>Provide independent challenge and assura</w:t>
      </w:r>
      <w:r w:rsidRPr="00627066">
        <w:rPr>
          <w:sz w:val="22"/>
        </w:rPr>
        <w:t>nce on development, regeneration, acquisitions, disposals and strategic investment proposals.</w:t>
      </w:r>
    </w:p>
    <w:p w14:paraId="4F591D8F" w14:textId="77777777" w:rsidR="00346CA3" w:rsidRPr="00627066" w:rsidRDefault="003A3B93" w:rsidP="00627066">
      <w:pPr>
        <w:pStyle w:val="ListBullet"/>
        <w:tabs>
          <w:tab w:val="clear" w:pos="360"/>
        </w:tabs>
        <w:spacing w:before="120" w:after="120" w:line="240" w:lineRule="auto"/>
        <w:ind w:left="357" w:hanging="357"/>
        <w:contextualSpacing w:val="0"/>
        <w:jc w:val="both"/>
        <w:rPr>
          <w:sz w:val="22"/>
        </w:rPr>
      </w:pPr>
      <w:r w:rsidRPr="00627066">
        <w:rPr>
          <w:sz w:val="22"/>
        </w:rPr>
        <w:t>Support scrutiny of development appraisals, business cases, funding models, procurement routes, delivery risks and cost control.</w:t>
      </w:r>
    </w:p>
    <w:p w14:paraId="28CFC64D" w14:textId="77777777" w:rsidR="00346CA3" w:rsidRPr="00627066" w:rsidRDefault="003A3B93" w:rsidP="00627066">
      <w:pPr>
        <w:pStyle w:val="ListBullet"/>
        <w:tabs>
          <w:tab w:val="clear" w:pos="360"/>
        </w:tabs>
        <w:spacing w:before="120" w:after="120" w:line="240" w:lineRule="auto"/>
        <w:ind w:left="357" w:hanging="357"/>
        <w:contextualSpacing w:val="0"/>
        <w:jc w:val="both"/>
        <w:rPr>
          <w:sz w:val="22"/>
        </w:rPr>
      </w:pPr>
      <w:r w:rsidRPr="00627066">
        <w:rPr>
          <w:sz w:val="22"/>
        </w:rPr>
        <w:t xml:space="preserve">Contribute to oversight of asset </w:t>
      </w:r>
      <w:r w:rsidRPr="00627066">
        <w:rPr>
          <w:sz w:val="22"/>
        </w:rPr>
        <w:t>management strategy, stock condition intelligence, Decent Homes compliance, building safety considerations and sustainability investment.</w:t>
      </w:r>
    </w:p>
    <w:p w14:paraId="45F73929" w14:textId="77777777" w:rsidR="00346CA3" w:rsidRPr="00627066" w:rsidRDefault="003A3B93" w:rsidP="00627066">
      <w:pPr>
        <w:pStyle w:val="ListBullet"/>
        <w:tabs>
          <w:tab w:val="clear" w:pos="360"/>
        </w:tabs>
        <w:spacing w:before="120" w:after="120" w:line="240" w:lineRule="auto"/>
        <w:ind w:left="357" w:hanging="357"/>
        <w:contextualSpacing w:val="0"/>
        <w:jc w:val="both"/>
        <w:rPr>
          <w:sz w:val="22"/>
        </w:rPr>
      </w:pPr>
      <w:r w:rsidRPr="00627066">
        <w:rPr>
          <w:sz w:val="22"/>
        </w:rPr>
        <w:t>Challenge whether proposals align with STAR Housing’s corporate priorities, Shropshire Council housing priorities, cus</w:t>
      </w:r>
      <w:r w:rsidRPr="00627066">
        <w:rPr>
          <w:sz w:val="22"/>
        </w:rPr>
        <w:t>tomer outcomes and long-term HRA sustainability.</w:t>
      </w:r>
    </w:p>
    <w:p w14:paraId="3858B4C9" w14:textId="77777777" w:rsidR="00346CA3" w:rsidRDefault="003A3B93" w:rsidP="00627066">
      <w:pPr>
        <w:pStyle w:val="ListBullet"/>
        <w:tabs>
          <w:tab w:val="clear" w:pos="360"/>
        </w:tabs>
        <w:spacing w:before="120" w:after="120" w:line="240" w:lineRule="auto"/>
        <w:ind w:left="357" w:hanging="357"/>
        <w:contextualSpacing w:val="0"/>
        <w:jc w:val="both"/>
        <w:rPr>
          <w:sz w:val="22"/>
        </w:rPr>
      </w:pPr>
      <w:r w:rsidRPr="00627066">
        <w:rPr>
          <w:sz w:val="22"/>
        </w:rPr>
        <w:t>Support the Development, Sustainability and Strategic Investment Subcommittee in reviewing strategic investment plans, asset performance and delivery of safe, good-quality and sustainable homes.</w:t>
      </w:r>
    </w:p>
    <w:p w14:paraId="1729C5D6" w14:textId="77777777" w:rsidR="00627066" w:rsidRPr="00627066" w:rsidRDefault="00627066" w:rsidP="00627066">
      <w:pPr>
        <w:pStyle w:val="ListBullet"/>
        <w:numPr>
          <w:ilvl w:val="0"/>
          <w:numId w:val="0"/>
        </w:numPr>
        <w:spacing w:before="120" w:after="120" w:line="240" w:lineRule="auto"/>
        <w:contextualSpacing w:val="0"/>
        <w:jc w:val="both"/>
        <w:rPr>
          <w:sz w:val="22"/>
        </w:rPr>
      </w:pPr>
    </w:p>
    <w:p w14:paraId="3E1C4329" w14:textId="77777777" w:rsidR="00346CA3" w:rsidRPr="00627066" w:rsidRDefault="003A3B93" w:rsidP="00627066">
      <w:pPr>
        <w:pStyle w:val="Heading1"/>
        <w:spacing w:before="120" w:after="120" w:line="240" w:lineRule="auto"/>
        <w:jc w:val="both"/>
        <w:rPr>
          <w:szCs w:val="24"/>
        </w:rPr>
      </w:pPr>
      <w:r w:rsidRPr="00627066">
        <w:rPr>
          <w:rFonts w:ascii="Arial" w:hAnsi="Arial"/>
          <w:color w:val="5A166B"/>
          <w:szCs w:val="24"/>
        </w:rPr>
        <w:t xml:space="preserve">Main </w:t>
      </w:r>
      <w:r w:rsidRPr="00627066">
        <w:rPr>
          <w:rFonts w:ascii="Arial" w:hAnsi="Arial"/>
          <w:color w:val="5A166B"/>
          <w:szCs w:val="24"/>
        </w:rPr>
        <w:t>Responsibilities</w:t>
      </w:r>
    </w:p>
    <w:p w14:paraId="5D4941F3" w14:textId="77777777" w:rsidR="00346CA3" w:rsidRPr="00627066" w:rsidRDefault="003A3B93" w:rsidP="00627066">
      <w:pPr>
        <w:pStyle w:val="ListBullet"/>
        <w:tabs>
          <w:tab w:val="clear" w:pos="360"/>
        </w:tabs>
        <w:spacing w:before="120" w:after="120" w:line="240" w:lineRule="auto"/>
        <w:ind w:left="357" w:hanging="357"/>
        <w:contextualSpacing w:val="0"/>
        <w:jc w:val="both"/>
        <w:rPr>
          <w:sz w:val="22"/>
        </w:rPr>
      </w:pPr>
      <w:r w:rsidRPr="00627066">
        <w:rPr>
          <w:sz w:val="22"/>
        </w:rPr>
        <w:t>Work with Board members to provide strategic leadership, direction and control for STAR Housing.</w:t>
      </w:r>
    </w:p>
    <w:p w14:paraId="5E74011C" w14:textId="77777777" w:rsidR="00346CA3" w:rsidRPr="00627066" w:rsidRDefault="003A3B93" w:rsidP="00627066">
      <w:pPr>
        <w:pStyle w:val="ListBullet"/>
        <w:tabs>
          <w:tab w:val="clear" w:pos="360"/>
        </w:tabs>
        <w:spacing w:before="120" w:after="120" w:line="240" w:lineRule="auto"/>
        <w:ind w:left="357" w:hanging="357"/>
        <w:contextualSpacing w:val="0"/>
        <w:jc w:val="both"/>
        <w:rPr>
          <w:sz w:val="22"/>
        </w:rPr>
      </w:pPr>
      <w:r w:rsidRPr="00627066">
        <w:rPr>
          <w:sz w:val="22"/>
        </w:rPr>
        <w:t>Provide independent, specialist advice and constructive challenge to the Chair, Board, subcommittee chairs and executive team.</w:t>
      </w:r>
    </w:p>
    <w:p w14:paraId="235B765A" w14:textId="77777777" w:rsidR="00346CA3" w:rsidRPr="00627066" w:rsidRDefault="003A3B93" w:rsidP="00627066">
      <w:pPr>
        <w:pStyle w:val="ListBullet"/>
        <w:tabs>
          <w:tab w:val="clear" w:pos="360"/>
        </w:tabs>
        <w:spacing w:before="120" w:after="120" w:line="240" w:lineRule="auto"/>
        <w:ind w:left="357" w:hanging="357"/>
        <w:contextualSpacing w:val="0"/>
        <w:jc w:val="both"/>
        <w:rPr>
          <w:sz w:val="22"/>
        </w:rPr>
      </w:pPr>
      <w:r w:rsidRPr="00627066">
        <w:rPr>
          <w:sz w:val="22"/>
        </w:rPr>
        <w:t>Support effecti</w:t>
      </w:r>
      <w:r w:rsidRPr="00627066">
        <w:rPr>
          <w:sz w:val="22"/>
        </w:rPr>
        <w:t>ve governance in line with STAR Housing’s constitution, statutory and regulatory obligations, Board Code of Conduct, governance framework and best practice.</w:t>
      </w:r>
    </w:p>
    <w:p w14:paraId="06D812BF" w14:textId="77777777" w:rsidR="00346CA3" w:rsidRPr="00627066" w:rsidRDefault="003A3B93" w:rsidP="00627066">
      <w:pPr>
        <w:pStyle w:val="ListBullet"/>
        <w:tabs>
          <w:tab w:val="clear" w:pos="360"/>
        </w:tabs>
        <w:spacing w:before="120" w:after="120" w:line="240" w:lineRule="auto"/>
        <w:ind w:left="357" w:hanging="357"/>
        <w:contextualSpacing w:val="0"/>
        <w:jc w:val="both"/>
        <w:rPr>
          <w:sz w:val="22"/>
        </w:rPr>
      </w:pPr>
      <w:r w:rsidRPr="00627066">
        <w:rPr>
          <w:sz w:val="22"/>
        </w:rPr>
        <w:t>Contribute to the setting and review of short, medium and long-term objectives, strategies, policie</w:t>
      </w:r>
      <w:r w:rsidRPr="00627066">
        <w:rPr>
          <w:sz w:val="22"/>
        </w:rPr>
        <w:t>s and business plans.</w:t>
      </w:r>
    </w:p>
    <w:p w14:paraId="2A53D7C5" w14:textId="77777777" w:rsidR="00346CA3" w:rsidRPr="00627066" w:rsidRDefault="003A3B93" w:rsidP="00627066">
      <w:pPr>
        <w:pStyle w:val="ListBullet"/>
        <w:tabs>
          <w:tab w:val="clear" w:pos="360"/>
        </w:tabs>
        <w:spacing w:before="120" w:after="120" w:line="240" w:lineRule="auto"/>
        <w:ind w:left="357" w:hanging="357"/>
        <w:contextualSpacing w:val="0"/>
        <w:jc w:val="both"/>
        <w:rPr>
          <w:sz w:val="22"/>
        </w:rPr>
      </w:pPr>
      <w:r w:rsidRPr="00627066">
        <w:rPr>
          <w:sz w:val="22"/>
        </w:rPr>
        <w:t>Scrutinise and challenge business plans, budgets, financial assumptions, risk reports, development proposals and asset investment decisions.</w:t>
      </w:r>
    </w:p>
    <w:p w14:paraId="6D8964C0" w14:textId="77777777" w:rsidR="00346CA3" w:rsidRPr="00627066" w:rsidRDefault="003A3B93" w:rsidP="00627066">
      <w:pPr>
        <w:pStyle w:val="ListBullet"/>
        <w:tabs>
          <w:tab w:val="clear" w:pos="360"/>
        </w:tabs>
        <w:spacing w:before="120" w:after="120" w:line="240" w:lineRule="auto"/>
        <w:ind w:left="357" w:hanging="357"/>
        <w:contextualSpacing w:val="0"/>
        <w:jc w:val="both"/>
        <w:rPr>
          <w:sz w:val="22"/>
        </w:rPr>
      </w:pPr>
      <w:r w:rsidRPr="00627066">
        <w:rPr>
          <w:sz w:val="22"/>
        </w:rPr>
        <w:t>Consider opportunities, threats and risks in the external environment and strengths, weakness</w:t>
      </w:r>
      <w:r w:rsidRPr="00627066">
        <w:rPr>
          <w:sz w:val="22"/>
        </w:rPr>
        <w:t>es and risks within STAR Housing.</w:t>
      </w:r>
    </w:p>
    <w:p w14:paraId="4AEAFED4" w14:textId="77777777" w:rsidR="00346CA3" w:rsidRPr="00627066" w:rsidRDefault="003A3B93" w:rsidP="00627066">
      <w:pPr>
        <w:pStyle w:val="ListBullet"/>
        <w:tabs>
          <w:tab w:val="clear" w:pos="360"/>
        </w:tabs>
        <w:spacing w:before="120" w:after="120" w:line="240" w:lineRule="auto"/>
        <w:ind w:left="357" w:hanging="357"/>
        <w:contextualSpacing w:val="0"/>
        <w:jc w:val="both"/>
        <w:rPr>
          <w:sz w:val="22"/>
        </w:rPr>
      </w:pPr>
      <w:r w:rsidRPr="00627066">
        <w:rPr>
          <w:sz w:val="22"/>
        </w:rPr>
        <w:t>Ensure that decisions reflect a commitment to equality, diversity and inclusion, health and safety, value for money and customer outcomes.</w:t>
      </w:r>
    </w:p>
    <w:p w14:paraId="343EE634" w14:textId="77777777" w:rsidR="00346CA3" w:rsidRPr="00627066" w:rsidRDefault="003A3B93" w:rsidP="00627066">
      <w:pPr>
        <w:pStyle w:val="ListBullet"/>
        <w:tabs>
          <w:tab w:val="clear" w:pos="360"/>
        </w:tabs>
        <w:spacing w:before="120" w:after="120" w:line="240" w:lineRule="auto"/>
        <w:ind w:left="357" w:hanging="357"/>
        <w:contextualSpacing w:val="0"/>
        <w:jc w:val="both"/>
        <w:rPr>
          <w:sz w:val="22"/>
        </w:rPr>
      </w:pPr>
      <w:r w:rsidRPr="00627066">
        <w:rPr>
          <w:sz w:val="22"/>
        </w:rPr>
        <w:t>Attend Board meetings and the relevant subcommittee meetings as required, including</w:t>
      </w:r>
      <w:r w:rsidRPr="00627066">
        <w:rPr>
          <w:sz w:val="22"/>
        </w:rPr>
        <w:t xml:space="preserve"> Finance, Audit and Risk and/or Development, Sustainability and Strategic Investment.</w:t>
      </w:r>
    </w:p>
    <w:p w14:paraId="6C1234E6" w14:textId="77777777" w:rsidR="00346CA3" w:rsidRPr="00627066" w:rsidRDefault="003A3B93" w:rsidP="00627066">
      <w:pPr>
        <w:pStyle w:val="ListBullet"/>
        <w:tabs>
          <w:tab w:val="clear" w:pos="360"/>
        </w:tabs>
        <w:spacing w:before="120" w:after="120" w:line="240" w:lineRule="auto"/>
        <w:ind w:left="357" w:hanging="357"/>
        <w:contextualSpacing w:val="0"/>
        <w:jc w:val="both"/>
        <w:rPr>
          <w:sz w:val="22"/>
        </w:rPr>
      </w:pPr>
      <w:r w:rsidRPr="00627066">
        <w:rPr>
          <w:sz w:val="22"/>
        </w:rPr>
        <w:t>Prepare fully for Board and committee meetings by reading papers, asking questions and contributing to informed discussion.</w:t>
      </w:r>
    </w:p>
    <w:p w14:paraId="11845DDC" w14:textId="77777777" w:rsidR="00346CA3" w:rsidRPr="00627066" w:rsidRDefault="003A3B93" w:rsidP="00627066">
      <w:pPr>
        <w:pStyle w:val="ListBullet"/>
        <w:tabs>
          <w:tab w:val="clear" w:pos="360"/>
        </w:tabs>
        <w:spacing w:before="120" w:after="120" w:line="240" w:lineRule="auto"/>
        <w:ind w:left="357" w:hanging="357"/>
        <w:contextualSpacing w:val="0"/>
        <w:jc w:val="both"/>
        <w:rPr>
          <w:sz w:val="22"/>
        </w:rPr>
      </w:pPr>
      <w:r w:rsidRPr="00627066">
        <w:rPr>
          <w:sz w:val="22"/>
        </w:rPr>
        <w:t>Participate in performance monitoring, risk re</w:t>
      </w:r>
      <w:r w:rsidRPr="00627066">
        <w:rPr>
          <w:sz w:val="22"/>
        </w:rPr>
        <w:t>view, learning and development, appraisal and Board effectiveness activity.</w:t>
      </w:r>
    </w:p>
    <w:p w14:paraId="1E116F9B" w14:textId="77777777" w:rsidR="00346CA3" w:rsidRPr="00627066" w:rsidRDefault="003A3B93" w:rsidP="00627066">
      <w:pPr>
        <w:pStyle w:val="ListBullet"/>
        <w:tabs>
          <w:tab w:val="clear" w:pos="360"/>
        </w:tabs>
        <w:spacing w:before="120" w:after="120" w:line="240" w:lineRule="auto"/>
        <w:ind w:left="357" w:hanging="357"/>
        <w:contextualSpacing w:val="0"/>
        <w:jc w:val="both"/>
        <w:rPr>
          <w:sz w:val="22"/>
        </w:rPr>
      </w:pPr>
      <w:r w:rsidRPr="00627066">
        <w:rPr>
          <w:sz w:val="22"/>
        </w:rPr>
        <w:t>Develop effective working relationships with Board members, co-optees, the executive team, Council colleagues and other relevant stakeholders.</w:t>
      </w:r>
    </w:p>
    <w:p w14:paraId="1DF34701" w14:textId="77777777" w:rsidR="00346CA3" w:rsidRPr="00627066" w:rsidRDefault="003A3B93" w:rsidP="00627066">
      <w:pPr>
        <w:pStyle w:val="ListBullet"/>
        <w:tabs>
          <w:tab w:val="clear" w:pos="360"/>
        </w:tabs>
        <w:spacing w:before="120" w:after="120" w:line="240" w:lineRule="auto"/>
        <w:ind w:left="357" w:hanging="357"/>
        <w:contextualSpacing w:val="0"/>
        <w:jc w:val="both"/>
        <w:rPr>
          <w:sz w:val="22"/>
        </w:rPr>
      </w:pPr>
      <w:r w:rsidRPr="00627066">
        <w:rPr>
          <w:sz w:val="22"/>
        </w:rPr>
        <w:t>Respect confidentiality, declare inte</w:t>
      </w:r>
      <w:r w:rsidRPr="00627066">
        <w:rPr>
          <w:sz w:val="22"/>
        </w:rPr>
        <w:t>rests, manage conflicts appropriately and maintain the highest standards of probity.</w:t>
      </w:r>
    </w:p>
    <w:p w14:paraId="18F7C5F6" w14:textId="77777777" w:rsidR="00346CA3" w:rsidRDefault="003A3B93" w:rsidP="00627066">
      <w:pPr>
        <w:pStyle w:val="ListBullet"/>
        <w:tabs>
          <w:tab w:val="clear" w:pos="360"/>
        </w:tabs>
        <w:spacing w:before="120" w:after="120" w:line="240" w:lineRule="auto"/>
        <w:ind w:left="357" w:hanging="357"/>
        <w:contextualSpacing w:val="0"/>
        <w:jc w:val="both"/>
        <w:rPr>
          <w:sz w:val="22"/>
        </w:rPr>
      </w:pPr>
      <w:r w:rsidRPr="00627066">
        <w:rPr>
          <w:sz w:val="22"/>
        </w:rPr>
        <w:t>Act in the best interests of STAR Housing and contribute to decisions that protect the interests of tenants, customers, staff, the Council shareholder and the wider commun</w:t>
      </w:r>
      <w:r w:rsidRPr="00627066">
        <w:rPr>
          <w:sz w:val="22"/>
        </w:rPr>
        <w:t>ity.</w:t>
      </w:r>
    </w:p>
    <w:p w14:paraId="241ACE41" w14:textId="77777777" w:rsidR="00627066" w:rsidRPr="00627066" w:rsidRDefault="00627066" w:rsidP="00627066">
      <w:pPr>
        <w:pStyle w:val="ListBullet"/>
        <w:numPr>
          <w:ilvl w:val="0"/>
          <w:numId w:val="0"/>
        </w:numPr>
        <w:spacing w:before="120" w:after="120" w:line="240" w:lineRule="auto"/>
        <w:ind w:left="360"/>
        <w:contextualSpacing w:val="0"/>
        <w:jc w:val="both"/>
        <w:rPr>
          <w:sz w:val="22"/>
        </w:rPr>
      </w:pPr>
    </w:p>
    <w:p w14:paraId="7472249D" w14:textId="77777777" w:rsidR="00346CA3" w:rsidRPr="00627066" w:rsidRDefault="003A3B93" w:rsidP="00627066">
      <w:pPr>
        <w:pStyle w:val="Heading1"/>
        <w:spacing w:before="120" w:after="120" w:line="240" w:lineRule="auto"/>
        <w:jc w:val="both"/>
        <w:rPr>
          <w:szCs w:val="24"/>
        </w:rPr>
      </w:pPr>
      <w:r w:rsidRPr="00627066">
        <w:rPr>
          <w:rFonts w:ascii="Arial" w:hAnsi="Arial"/>
          <w:color w:val="5A166B"/>
          <w:szCs w:val="24"/>
        </w:rPr>
        <w:t>Time Commitment</w:t>
      </w:r>
    </w:p>
    <w:p w14:paraId="1FB125E7" w14:textId="7829D7A3" w:rsidR="00627066" w:rsidRDefault="003A3B93" w:rsidP="00627066">
      <w:pPr>
        <w:spacing w:before="120" w:after="120" w:line="240" w:lineRule="auto"/>
        <w:jc w:val="both"/>
        <w:rPr>
          <w:sz w:val="22"/>
        </w:rPr>
      </w:pPr>
      <w:r w:rsidRPr="00627066">
        <w:rPr>
          <w:sz w:val="22"/>
        </w:rPr>
        <w:t>Co-optees are expected to attend the relevant subcommittee meetings during the year and attend STAR Housing Board meetings where required. The role may also involve attendance at strategy sessions, Board away</w:t>
      </w:r>
      <w:r w:rsidRPr="00627066">
        <w:rPr>
          <w:sz w:val="22"/>
        </w:rPr>
        <w:t xml:space="preserve"> days, training, appraisal meetings, the Annual General Meeting </w:t>
      </w:r>
      <w:r w:rsidR="00BC1408">
        <w:rPr>
          <w:sz w:val="22"/>
        </w:rPr>
        <w:t xml:space="preserve">(AGM) </w:t>
      </w:r>
      <w:r w:rsidRPr="00627066">
        <w:rPr>
          <w:sz w:val="22"/>
        </w:rPr>
        <w:t>and other relevant events. Meetings may be held in person or by Microsoft Teams.</w:t>
      </w:r>
    </w:p>
    <w:p w14:paraId="776B20D0" w14:textId="77777777" w:rsidR="00627066" w:rsidRPr="00627066" w:rsidRDefault="00627066" w:rsidP="00627066">
      <w:pPr>
        <w:spacing w:before="120" w:after="120" w:line="240" w:lineRule="auto"/>
        <w:jc w:val="both"/>
        <w:rPr>
          <w:sz w:val="22"/>
        </w:rPr>
      </w:pPr>
    </w:p>
    <w:p w14:paraId="6EC2E57F" w14:textId="77777777" w:rsidR="00346CA3" w:rsidRPr="00627066" w:rsidRDefault="003A3B93" w:rsidP="00627066">
      <w:pPr>
        <w:pStyle w:val="Heading1"/>
        <w:spacing w:before="120" w:after="120" w:line="240" w:lineRule="auto"/>
        <w:jc w:val="both"/>
        <w:rPr>
          <w:szCs w:val="24"/>
        </w:rPr>
      </w:pPr>
      <w:r w:rsidRPr="00627066">
        <w:rPr>
          <w:rFonts w:ascii="Arial" w:hAnsi="Arial"/>
          <w:color w:val="5A166B"/>
          <w:szCs w:val="24"/>
        </w:rPr>
        <w:t>Person Specification</w:t>
      </w:r>
    </w:p>
    <w:tbl>
      <w:tblPr>
        <w:tblStyle w:val="TableGrid"/>
        <w:tblW w:w="0" w:type="auto"/>
        <w:jc w:val="center"/>
        <w:tblLook w:val="04A0" w:firstRow="1" w:lastRow="0" w:firstColumn="1" w:lastColumn="0" w:noHBand="0" w:noVBand="1"/>
      </w:tblPr>
      <w:tblGrid>
        <w:gridCol w:w="7582"/>
        <w:gridCol w:w="1304"/>
        <w:gridCol w:w="1328"/>
      </w:tblGrid>
      <w:tr w:rsidR="00346CA3" w:rsidRPr="00627066" w14:paraId="28DD4735" w14:textId="77777777" w:rsidTr="00627066">
        <w:trPr>
          <w:jc w:val="center"/>
        </w:trPr>
        <w:tc>
          <w:tcPr>
            <w:tcW w:w="7626" w:type="dxa"/>
            <w:shd w:val="clear" w:color="auto" w:fill="5A166B"/>
            <w:vAlign w:val="center"/>
          </w:tcPr>
          <w:p w14:paraId="45EB1C31" w14:textId="77777777" w:rsidR="00346CA3" w:rsidRPr="00627066" w:rsidRDefault="003A3B93" w:rsidP="00627066">
            <w:pPr>
              <w:spacing w:before="120" w:after="120"/>
              <w:jc w:val="center"/>
              <w:rPr>
                <w:sz w:val="22"/>
              </w:rPr>
            </w:pPr>
            <w:r w:rsidRPr="00627066">
              <w:rPr>
                <w:b/>
                <w:color w:val="FFFFFF"/>
                <w:sz w:val="22"/>
              </w:rPr>
              <w:t>Criteria</w:t>
            </w:r>
          </w:p>
        </w:tc>
        <w:tc>
          <w:tcPr>
            <w:tcW w:w="1305" w:type="dxa"/>
            <w:shd w:val="clear" w:color="auto" w:fill="5A166B"/>
            <w:vAlign w:val="center"/>
          </w:tcPr>
          <w:p w14:paraId="67A562BC" w14:textId="77777777" w:rsidR="00346CA3" w:rsidRPr="00627066" w:rsidRDefault="003A3B93" w:rsidP="00627066">
            <w:pPr>
              <w:spacing w:before="120" w:after="120"/>
              <w:jc w:val="center"/>
              <w:rPr>
                <w:sz w:val="22"/>
              </w:rPr>
            </w:pPr>
            <w:r w:rsidRPr="00627066">
              <w:rPr>
                <w:b/>
                <w:color w:val="FFFFFF"/>
                <w:sz w:val="22"/>
              </w:rPr>
              <w:t>Essential</w:t>
            </w:r>
          </w:p>
        </w:tc>
        <w:tc>
          <w:tcPr>
            <w:tcW w:w="1329" w:type="dxa"/>
            <w:shd w:val="clear" w:color="auto" w:fill="5A166B"/>
            <w:vAlign w:val="center"/>
          </w:tcPr>
          <w:p w14:paraId="4EC9A575" w14:textId="77777777" w:rsidR="00346CA3" w:rsidRPr="00627066" w:rsidRDefault="003A3B93" w:rsidP="00627066">
            <w:pPr>
              <w:spacing w:before="120" w:after="120"/>
              <w:jc w:val="center"/>
              <w:rPr>
                <w:sz w:val="22"/>
              </w:rPr>
            </w:pPr>
            <w:r w:rsidRPr="00627066">
              <w:rPr>
                <w:b/>
                <w:color w:val="FFFFFF"/>
                <w:sz w:val="22"/>
              </w:rPr>
              <w:t>Desirable</w:t>
            </w:r>
          </w:p>
        </w:tc>
      </w:tr>
      <w:tr w:rsidR="00346CA3" w:rsidRPr="00627066" w14:paraId="703BF2AD" w14:textId="77777777" w:rsidTr="00627066">
        <w:trPr>
          <w:jc w:val="center"/>
        </w:trPr>
        <w:tc>
          <w:tcPr>
            <w:tcW w:w="10260" w:type="dxa"/>
            <w:gridSpan w:val="3"/>
            <w:shd w:val="clear" w:color="auto" w:fill="7F4E8A"/>
            <w:vAlign w:val="center"/>
          </w:tcPr>
          <w:p w14:paraId="4C017D97" w14:textId="77777777" w:rsidR="00346CA3" w:rsidRPr="00627066" w:rsidRDefault="003A3B93" w:rsidP="00627066">
            <w:pPr>
              <w:spacing w:before="120" w:after="120"/>
              <w:jc w:val="center"/>
              <w:rPr>
                <w:sz w:val="22"/>
              </w:rPr>
            </w:pPr>
            <w:r w:rsidRPr="00627066">
              <w:rPr>
                <w:b/>
                <w:color w:val="FFFFFF"/>
                <w:sz w:val="22"/>
              </w:rPr>
              <w:t>Commitment</w:t>
            </w:r>
          </w:p>
        </w:tc>
      </w:tr>
      <w:tr w:rsidR="00346CA3" w:rsidRPr="00627066" w14:paraId="634AE699" w14:textId="77777777" w:rsidTr="00627066">
        <w:trPr>
          <w:jc w:val="center"/>
        </w:trPr>
        <w:tc>
          <w:tcPr>
            <w:tcW w:w="7626" w:type="dxa"/>
            <w:vAlign w:val="center"/>
          </w:tcPr>
          <w:p w14:paraId="46D9DB78" w14:textId="77777777" w:rsidR="00346CA3" w:rsidRPr="00627066" w:rsidRDefault="003A3B93" w:rsidP="00627066">
            <w:pPr>
              <w:rPr>
                <w:sz w:val="22"/>
              </w:rPr>
            </w:pPr>
            <w:r w:rsidRPr="00627066">
              <w:rPr>
                <w:sz w:val="22"/>
              </w:rPr>
              <w:t>Commitment to STAR Housing’s vision, values and</w:t>
            </w:r>
            <w:r w:rsidRPr="00627066">
              <w:rPr>
                <w:sz w:val="22"/>
              </w:rPr>
              <w:t xml:space="preserve"> social purpose</w:t>
            </w:r>
          </w:p>
        </w:tc>
        <w:tc>
          <w:tcPr>
            <w:tcW w:w="1305" w:type="dxa"/>
            <w:vAlign w:val="center"/>
          </w:tcPr>
          <w:p w14:paraId="2EC577EA" w14:textId="77777777" w:rsidR="00346CA3" w:rsidRPr="00627066" w:rsidRDefault="003A3B93" w:rsidP="00627066">
            <w:pPr>
              <w:jc w:val="center"/>
              <w:rPr>
                <w:sz w:val="22"/>
              </w:rPr>
            </w:pPr>
            <w:r w:rsidRPr="00627066">
              <w:rPr>
                <w:b/>
                <w:sz w:val="22"/>
              </w:rPr>
              <w:t>✔</w:t>
            </w:r>
          </w:p>
        </w:tc>
        <w:tc>
          <w:tcPr>
            <w:tcW w:w="1329" w:type="dxa"/>
            <w:vAlign w:val="center"/>
          </w:tcPr>
          <w:p w14:paraId="6896265F" w14:textId="77777777" w:rsidR="00346CA3" w:rsidRPr="00627066" w:rsidRDefault="00346CA3" w:rsidP="00627066">
            <w:pPr>
              <w:jc w:val="center"/>
              <w:rPr>
                <w:sz w:val="22"/>
              </w:rPr>
            </w:pPr>
          </w:p>
        </w:tc>
      </w:tr>
      <w:tr w:rsidR="00346CA3" w:rsidRPr="00627066" w14:paraId="41722F3F" w14:textId="77777777" w:rsidTr="00627066">
        <w:trPr>
          <w:jc w:val="center"/>
        </w:trPr>
        <w:tc>
          <w:tcPr>
            <w:tcW w:w="7626" w:type="dxa"/>
            <w:vAlign w:val="center"/>
          </w:tcPr>
          <w:p w14:paraId="4B7D5E7D" w14:textId="77777777" w:rsidR="00346CA3" w:rsidRPr="00627066" w:rsidRDefault="003A3B93" w:rsidP="00627066">
            <w:pPr>
              <w:rPr>
                <w:sz w:val="22"/>
              </w:rPr>
            </w:pPr>
            <w:r w:rsidRPr="00627066">
              <w:rPr>
                <w:sz w:val="22"/>
              </w:rPr>
              <w:t>Commitment to equality, diversity and inclusion</w:t>
            </w:r>
          </w:p>
        </w:tc>
        <w:tc>
          <w:tcPr>
            <w:tcW w:w="1305" w:type="dxa"/>
            <w:vAlign w:val="center"/>
          </w:tcPr>
          <w:p w14:paraId="239EB243" w14:textId="77777777" w:rsidR="00346CA3" w:rsidRPr="00627066" w:rsidRDefault="003A3B93" w:rsidP="00627066">
            <w:pPr>
              <w:jc w:val="center"/>
              <w:rPr>
                <w:sz w:val="22"/>
              </w:rPr>
            </w:pPr>
            <w:r w:rsidRPr="00627066">
              <w:rPr>
                <w:b/>
                <w:sz w:val="22"/>
              </w:rPr>
              <w:t>✔</w:t>
            </w:r>
          </w:p>
        </w:tc>
        <w:tc>
          <w:tcPr>
            <w:tcW w:w="1329" w:type="dxa"/>
            <w:vAlign w:val="center"/>
          </w:tcPr>
          <w:p w14:paraId="1A296772" w14:textId="77777777" w:rsidR="00346CA3" w:rsidRPr="00627066" w:rsidRDefault="00346CA3" w:rsidP="00627066">
            <w:pPr>
              <w:jc w:val="center"/>
              <w:rPr>
                <w:sz w:val="22"/>
              </w:rPr>
            </w:pPr>
          </w:p>
        </w:tc>
      </w:tr>
      <w:tr w:rsidR="00346CA3" w:rsidRPr="00627066" w14:paraId="34FD3F1D" w14:textId="77777777" w:rsidTr="00627066">
        <w:trPr>
          <w:jc w:val="center"/>
        </w:trPr>
        <w:tc>
          <w:tcPr>
            <w:tcW w:w="7626" w:type="dxa"/>
            <w:vAlign w:val="center"/>
          </w:tcPr>
          <w:p w14:paraId="548B4B84" w14:textId="77777777" w:rsidR="00346CA3" w:rsidRPr="00627066" w:rsidRDefault="003A3B93" w:rsidP="00627066">
            <w:pPr>
              <w:rPr>
                <w:sz w:val="22"/>
              </w:rPr>
            </w:pPr>
            <w:r w:rsidRPr="00627066">
              <w:rPr>
                <w:sz w:val="22"/>
              </w:rPr>
              <w:t>Commitment to high standards of governance, probity and confidentiality</w:t>
            </w:r>
          </w:p>
        </w:tc>
        <w:tc>
          <w:tcPr>
            <w:tcW w:w="1305" w:type="dxa"/>
            <w:vAlign w:val="center"/>
          </w:tcPr>
          <w:p w14:paraId="7EDCF9AA" w14:textId="77777777" w:rsidR="00346CA3" w:rsidRPr="00627066" w:rsidRDefault="003A3B93" w:rsidP="00627066">
            <w:pPr>
              <w:jc w:val="center"/>
              <w:rPr>
                <w:sz w:val="22"/>
              </w:rPr>
            </w:pPr>
            <w:r w:rsidRPr="00627066">
              <w:rPr>
                <w:b/>
                <w:sz w:val="22"/>
              </w:rPr>
              <w:t>✔</w:t>
            </w:r>
          </w:p>
        </w:tc>
        <w:tc>
          <w:tcPr>
            <w:tcW w:w="1329" w:type="dxa"/>
            <w:vAlign w:val="center"/>
          </w:tcPr>
          <w:p w14:paraId="7E62F27A" w14:textId="77777777" w:rsidR="00346CA3" w:rsidRPr="00627066" w:rsidRDefault="00346CA3" w:rsidP="00627066">
            <w:pPr>
              <w:jc w:val="center"/>
              <w:rPr>
                <w:sz w:val="22"/>
              </w:rPr>
            </w:pPr>
          </w:p>
        </w:tc>
      </w:tr>
      <w:tr w:rsidR="00346CA3" w:rsidRPr="00627066" w14:paraId="42FDDE08" w14:textId="77777777" w:rsidTr="00627066">
        <w:trPr>
          <w:jc w:val="center"/>
        </w:trPr>
        <w:tc>
          <w:tcPr>
            <w:tcW w:w="7626" w:type="dxa"/>
            <w:vAlign w:val="center"/>
          </w:tcPr>
          <w:p w14:paraId="726AFAB2" w14:textId="77777777" w:rsidR="00346CA3" w:rsidRPr="00627066" w:rsidRDefault="003A3B93" w:rsidP="00627066">
            <w:pPr>
              <w:rPr>
                <w:sz w:val="22"/>
              </w:rPr>
            </w:pPr>
            <w:r w:rsidRPr="00627066">
              <w:rPr>
                <w:sz w:val="22"/>
              </w:rPr>
              <w:t>Commitment to acting in the best interests of STAR Housing, tenants, customers and the Council shareholder</w:t>
            </w:r>
          </w:p>
        </w:tc>
        <w:tc>
          <w:tcPr>
            <w:tcW w:w="1305" w:type="dxa"/>
            <w:vAlign w:val="center"/>
          </w:tcPr>
          <w:p w14:paraId="0D208397" w14:textId="77777777" w:rsidR="00346CA3" w:rsidRPr="00627066" w:rsidRDefault="003A3B93" w:rsidP="00627066">
            <w:pPr>
              <w:jc w:val="center"/>
              <w:rPr>
                <w:sz w:val="22"/>
              </w:rPr>
            </w:pPr>
            <w:r w:rsidRPr="00627066">
              <w:rPr>
                <w:b/>
                <w:sz w:val="22"/>
              </w:rPr>
              <w:t>✔</w:t>
            </w:r>
          </w:p>
        </w:tc>
        <w:tc>
          <w:tcPr>
            <w:tcW w:w="1329" w:type="dxa"/>
            <w:vAlign w:val="center"/>
          </w:tcPr>
          <w:p w14:paraId="3364F453" w14:textId="77777777" w:rsidR="00346CA3" w:rsidRPr="00627066" w:rsidRDefault="00346CA3" w:rsidP="00627066">
            <w:pPr>
              <w:jc w:val="center"/>
              <w:rPr>
                <w:sz w:val="22"/>
              </w:rPr>
            </w:pPr>
          </w:p>
        </w:tc>
      </w:tr>
      <w:tr w:rsidR="00346CA3" w:rsidRPr="00627066" w14:paraId="07519B79" w14:textId="77777777" w:rsidTr="00627066">
        <w:trPr>
          <w:jc w:val="center"/>
        </w:trPr>
        <w:tc>
          <w:tcPr>
            <w:tcW w:w="7626" w:type="dxa"/>
            <w:vAlign w:val="center"/>
          </w:tcPr>
          <w:p w14:paraId="203BB67E" w14:textId="77777777" w:rsidR="00346CA3" w:rsidRPr="00627066" w:rsidRDefault="003A3B93" w:rsidP="00627066">
            <w:pPr>
              <w:rPr>
                <w:sz w:val="22"/>
              </w:rPr>
            </w:pPr>
            <w:r w:rsidRPr="00627066">
              <w:rPr>
                <w:sz w:val="22"/>
              </w:rPr>
              <w:t>Commitment to tenant involvement, customer outcomes and continuous improvement</w:t>
            </w:r>
          </w:p>
        </w:tc>
        <w:tc>
          <w:tcPr>
            <w:tcW w:w="1305" w:type="dxa"/>
            <w:vAlign w:val="center"/>
          </w:tcPr>
          <w:p w14:paraId="2DD4D498" w14:textId="77777777" w:rsidR="00346CA3" w:rsidRPr="00627066" w:rsidRDefault="003A3B93" w:rsidP="00627066">
            <w:pPr>
              <w:jc w:val="center"/>
              <w:rPr>
                <w:sz w:val="22"/>
              </w:rPr>
            </w:pPr>
            <w:r w:rsidRPr="00627066">
              <w:rPr>
                <w:b/>
                <w:sz w:val="22"/>
              </w:rPr>
              <w:t>✔</w:t>
            </w:r>
          </w:p>
        </w:tc>
        <w:tc>
          <w:tcPr>
            <w:tcW w:w="1329" w:type="dxa"/>
            <w:vAlign w:val="center"/>
          </w:tcPr>
          <w:p w14:paraId="58EC965F" w14:textId="77777777" w:rsidR="00346CA3" w:rsidRPr="00627066" w:rsidRDefault="00346CA3" w:rsidP="00627066">
            <w:pPr>
              <w:jc w:val="center"/>
              <w:rPr>
                <w:sz w:val="22"/>
              </w:rPr>
            </w:pPr>
          </w:p>
        </w:tc>
      </w:tr>
      <w:tr w:rsidR="00346CA3" w:rsidRPr="00627066" w14:paraId="0A8E8E3C" w14:textId="77777777" w:rsidTr="00627066">
        <w:trPr>
          <w:jc w:val="center"/>
        </w:trPr>
        <w:tc>
          <w:tcPr>
            <w:tcW w:w="7626" w:type="dxa"/>
            <w:vAlign w:val="center"/>
          </w:tcPr>
          <w:p w14:paraId="60C62614" w14:textId="77777777" w:rsidR="00346CA3" w:rsidRPr="00627066" w:rsidRDefault="003A3B93" w:rsidP="00627066">
            <w:pPr>
              <w:rPr>
                <w:sz w:val="22"/>
              </w:rPr>
            </w:pPr>
            <w:r w:rsidRPr="00627066">
              <w:rPr>
                <w:sz w:val="22"/>
              </w:rPr>
              <w:t>Commitment to learning, development and effective participation in Board and committee activity</w:t>
            </w:r>
          </w:p>
        </w:tc>
        <w:tc>
          <w:tcPr>
            <w:tcW w:w="1305" w:type="dxa"/>
            <w:vAlign w:val="center"/>
          </w:tcPr>
          <w:p w14:paraId="2CAFC527" w14:textId="77777777" w:rsidR="00346CA3" w:rsidRPr="00627066" w:rsidRDefault="003A3B93" w:rsidP="00627066">
            <w:pPr>
              <w:jc w:val="center"/>
              <w:rPr>
                <w:sz w:val="22"/>
              </w:rPr>
            </w:pPr>
            <w:r w:rsidRPr="00627066">
              <w:rPr>
                <w:b/>
                <w:sz w:val="22"/>
              </w:rPr>
              <w:t>✔</w:t>
            </w:r>
          </w:p>
        </w:tc>
        <w:tc>
          <w:tcPr>
            <w:tcW w:w="1329" w:type="dxa"/>
            <w:vAlign w:val="center"/>
          </w:tcPr>
          <w:p w14:paraId="6E2B349E" w14:textId="77777777" w:rsidR="00346CA3" w:rsidRPr="00627066" w:rsidRDefault="00346CA3" w:rsidP="00627066">
            <w:pPr>
              <w:jc w:val="center"/>
              <w:rPr>
                <w:sz w:val="22"/>
              </w:rPr>
            </w:pPr>
          </w:p>
        </w:tc>
      </w:tr>
      <w:tr w:rsidR="00346CA3" w:rsidRPr="00627066" w14:paraId="22CEB374" w14:textId="77777777" w:rsidTr="00627066">
        <w:trPr>
          <w:jc w:val="center"/>
        </w:trPr>
        <w:tc>
          <w:tcPr>
            <w:tcW w:w="10260" w:type="dxa"/>
            <w:gridSpan w:val="3"/>
            <w:shd w:val="clear" w:color="auto" w:fill="7F4E8A"/>
            <w:vAlign w:val="center"/>
          </w:tcPr>
          <w:p w14:paraId="19F33897" w14:textId="77777777" w:rsidR="00346CA3" w:rsidRPr="00627066" w:rsidRDefault="003A3B93" w:rsidP="00627066">
            <w:pPr>
              <w:spacing w:before="120" w:after="120"/>
              <w:jc w:val="center"/>
              <w:rPr>
                <w:sz w:val="22"/>
              </w:rPr>
            </w:pPr>
            <w:r w:rsidRPr="00627066">
              <w:rPr>
                <w:b/>
                <w:color w:val="FFFFFF"/>
                <w:sz w:val="22"/>
              </w:rPr>
              <w:t>Experience and Knowledge</w:t>
            </w:r>
          </w:p>
        </w:tc>
      </w:tr>
      <w:tr w:rsidR="00346CA3" w:rsidRPr="00627066" w14:paraId="55351F25" w14:textId="77777777" w:rsidTr="00627066">
        <w:trPr>
          <w:jc w:val="center"/>
        </w:trPr>
        <w:tc>
          <w:tcPr>
            <w:tcW w:w="7626" w:type="dxa"/>
            <w:vAlign w:val="center"/>
          </w:tcPr>
          <w:p w14:paraId="6EC71E43" w14:textId="77777777" w:rsidR="00346CA3" w:rsidRPr="00627066" w:rsidRDefault="003A3B93" w:rsidP="00627066">
            <w:pPr>
              <w:spacing w:before="120" w:after="120"/>
              <w:contextualSpacing/>
              <w:rPr>
                <w:sz w:val="22"/>
              </w:rPr>
            </w:pPr>
            <w:r w:rsidRPr="00627066">
              <w:rPr>
                <w:sz w:val="22"/>
              </w:rPr>
              <w:t xml:space="preserve">Senior-level experience in finance, audit, </w:t>
            </w:r>
            <w:r w:rsidRPr="00627066">
              <w:rPr>
                <w:sz w:val="22"/>
              </w:rPr>
              <w:t>risk, development, regeneration, strategic asset management or a related field</w:t>
            </w:r>
          </w:p>
        </w:tc>
        <w:tc>
          <w:tcPr>
            <w:tcW w:w="1305" w:type="dxa"/>
            <w:vAlign w:val="center"/>
          </w:tcPr>
          <w:p w14:paraId="67E0E839" w14:textId="77777777" w:rsidR="00346CA3" w:rsidRPr="00627066" w:rsidRDefault="003A3B93" w:rsidP="00627066">
            <w:pPr>
              <w:spacing w:before="120" w:after="120"/>
              <w:contextualSpacing/>
              <w:jc w:val="center"/>
              <w:rPr>
                <w:sz w:val="22"/>
              </w:rPr>
            </w:pPr>
            <w:r w:rsidRPr="00627066">
              <w:rPr>
                <w:b/>
                <w:sz w:val="22"/>
              </w:rPr>
              <w:t>✔</w:t>
            </w:r>
          </w:p>
        </w:tc>
        <w:tc>
          <w:tcPr>
            <w:tcW w:w="1329" w:type="dxa"/>
            <w:vAlign w:val="center"/>
          </w:tcPr>
          <w:p w14:paraId="3A39C486" w14:textId="77777777" w:rsidR="00346CA3" w:rsidRPr="00627066" w:rsidRDefault="00346CA3" w:rsidP="00627066">
            <w:pPr>
              <w:spacing w:before="120" w:after="120"/>
              <w:contextualSpacing/>
              <w:jc w:val="center"/>
              <w:rPr>
                <w:sz w:val="22"/>
              </w:rPr>
            </w:pPr>
          </w:p>
        </w:tc>
      </w:tr>
      <w:tr w:rsidR="00346CA3" w:rsidRPr="00627066" w14:paraId="727324BF" w14:textId="77777777" w:rsidTr="00627066">
        <w:trPr>
          <w:jc w:val="center"/>
        </w:trPr>
        <w:tc>
          <w:tcPr>
            <w:tcW w:w="7626" w:type="dxa"/>
            <w:vAlign w:val="center"/>
          </w:tcPr>
          <w:p w14:paraId="71F8BFCE" w14:textId="77777777" w:rsidR="00346CA3" w:rsidRPr="00627066" w:rsidRDefault="003A3B93" w:rsidP="00627066">
            <w:pPr>
              <w:spacing w:before="120" w:after="120"/>
              <w:contextualSpacing/>
              <w:rPr>
                <w:sz w:val="22"/>
              </w:rPr>
            </w:pPr>
            <w:r w:rsidRPr="00627066">
              <w:rPr>
                <w:sz w:val="22"/>
              </w:rPr>
              <w:t>Understanding of financial governance, risk management, assurance and internal control frameworks</w:t>
            </w:r>
          </w:p>
        </w:tc>
        <w:tc>
          <w:tcPr>
            <w:tcW w:w="1305" w:type="dxa"/>
            <w:vAlign w:val="center"/>
          </w:tcPr>
          <w:p w14:paraId="6EE33B38" w14:textId="77777777" w:rsidR="00346CA3" w:rsidRPr="00627066" w:rsidRDefault="003A3B93" w:rsidP="00627066">
            <w:pPr>
              <w:spacing w:before="120" w:after="120"/>
              <w:contextualSpacing/>
              <w:jc w:val="center"/>
              <w:rPr>
                <w:sz w:val="22"/>
              </w:rPr>
            </w:pPr>
            <w:r w:rsidRPr="00627066">
              <w:rPr>
                <w:b/>
                <w:sz w:val="22"/>
              </w:rPr>
              <w:t>✔</w:t>
            </w:r>
          </w:p>
        </w:tc>
        <w:tc>
          <w:tcPr>
            <w:tcW w:w="1329" w:type="dxa"/>
            <w:vAlign w:val="center"/>
          </w:tcPr>
          <w:p w14:paraId="1E63B713" w14:textId="77777777" w:rsidR="00346CA3" w:rsidRPr="00627066" w:rsidRDefault="00346CA3" w:rsidP="00627066">
            <w:pPr>
              <w:spacing w:before="120" w:after="120"/>
              <w:contextualSpacing/>
              <w:jc w:val="center"/>
              <w:rPr>
                <w:sz w:val="22"/>
              </w:rPr>
            </w:pPr>
          </w:p>
        </w:tc>
      </w:tr>
      <w:tr w:rsidR="00346CA3" w:rsidRPr="00627066" w14:paraId="0FABF852" w14:textId="77777777" w:rsidTr="00627066">
        <w:trPr>
          <w:jc w:val="center"/>
        </w:trPr>
        <w:tc>
          <w:tcPr>
            <w:tcW w:w="7626" w:type="dxa"/>
            <w:vAlign w:val="center"/>
          </w:tcPr>
          <w:p w14:paraId="4655B337" w14:textId="77777777" w:rsidR="00346CA3" w:rsidRPr="00627066" w:rsidRDefault="003A3B93" w:rsidP="00627066">
            <w:pPr>
              <w:spacing w:before="120" w:after="120"/>
              <w:contextualSpacing/>
              <w:rPr>
                <w:sz w:val="22"/>
              </w:rPr>
            </w:pPr>
            <w:r w:rsidRPr="00627066">
              <w:rPr>
                <w:sz w:val="22"/>
              </w:rPr>
              <w:t>Understanding of development appraisal, asset investment, regeneration,</w:t>
            </w:r>
            <w:r w:rsidRPr="00627066">
              <w:rPr>
                <w:sz w:val="22"/>
              </w:rPr>
              <w:t xml:space="preserve"> building safety, sustainability or property-related decision-making</w:t>
            </w:r>
          </w:p>
        </w:tc>
        <w:tc>
          <w:tcPr>
            <w:tcW w:w="1305" w:type="dxa"/>
            <w:vAlign w:val="center"/>
          </w:tcPr>
          <w:p w14:paraId="60C91A52" w14:textId="77777777" w:rsidR="00346CA3" w:rsidRPr="00627066" w:rsidRDefault="003A3B93" w:rsidP="00627066">
            <w:pPr>
              <w:spacing w:before="120" w:after="120"/>
              <w:contextualSpacing/>
              <w:jc w:val="center"/>
              <w:rPr>
                <w:sz w:val="22"/>
              </w:rPr>
            </w:pPr>
            <w:r w:rsidRPr="00627066">
              <w:rPr>
                <w:b/>
                <w:sz w:val="22"/>
              </w:rPr>
              <w:t>✔</w:t>
            </w:r>
          </w:p>
        </w:tc>
        <w:tc>
          <w:tcPr>
            <w:tcW w:w="1329" w:type="dxa"/>
            <w:vAlign w:val="center"/>
          </w:tcPr>
          <w:p w14:paraId="1E03B7B9" w14:textId="77777777" w:rsidR="00346CA3" w:rsidRPr="00627066" w:rsidRDefault="00346CA3" w:rsidP="00627066">
            <w:pPr>
              <w:spacing w:before="120" w:after="120"/>
              <w:contextualSpacing/>
              <w:jc w:val="center"/>
              <w:rPr>
                <w:sz w:val="22"/>
              </w:rPr>
            </w:pPr>
          </w:p>
        </w:tc>
      </w:tr>
      <w:tr w:rsidR="00346CA3" w:rsidRPr="00627066" w14:paraId="0ABEA1A4" w14:textId="77777777" w:rsidTr="00627066">
        <w:trPr>
          <w:jc w:val="center"/>
        </w:trPr>
        <w:tc>
          <w:tcPr>
            <w:tcW w:w="7626" w:type="dxa"/>
            <w:vAlign w:val="center"/>
          </w:tcPr>
          <w:p w14:paraId="53621989" w14:textId="77777777" w:rsidR="00346CA3" w:rsidRPr="00627066" w:rsidRDefault="003A3B93" w:rsidP="00627066">
            <w:pPr>
              <w:spacing w:before="120" w:after="120"/>
              <w:contextualSpacing/>
              <w:rPr>
                <w:sz w:val="22"/>
              </w:rPr>
            </w:pPr>
            <w:r w:rsidRPr="00627066">
              <w:rPr>
                <w:sz w:val="22"/>
              </w:rPr>
              <w:t>Knowledge or experience of social housing, local authority housing, ALMOs or Housing Revenue Account finance</w:t>
            </w:r>
          </w:p>
        </w:tc>
        <w:tc>
          <w:tcPr>
            <w:tcW w:w="1305" w:type="dxa"/>
            <w:vAlign w:val="center"/>
          </w:tcPr>
          <w:p w14:paraId="757A7C00" w14:textId="77777777" w:rsidR="00346CA3" w:rsidRPr="00627066" w:rsidRDefault="00346CA3" w:rsidP="00627066">
            <w:pPr>
              <w:spacing w:before="120" w:after="120"/>
              <w:contextualSpacing/>
              <w:jc w:val="center"/>
              <w:rPr>
                <w:sz w:val="22"/>
              </w:rPr>
            </w:pPr>
          </w:p>
        </w:tc>
        <w:tc>
          <w:tcPr>
            <w:tcW w:w="1329" w:type="dxa"/>
            <w:vAlign w:val="center"/>
          </w:tcPr>
          <w:p w14:paraId="76F40707" w14:textId="77777777" w:rsidR="00346CA3" w:rsidRPr="00627066" w:rsidRDefault="003A3B93" w:rsidP="00627066">
            <w:pPr>
              <w:spacing w:before="120" w:after="120"/>
              <w:contextualSpacing/>
              <w:jc w:val="center"/>
              <w:rPr>
                <w:sz w:val="22"/>
              </w:rPr>
            </w:pPr>
            <w:r w:rsidRPr="00627066">
              <w:rPr>
                <w:b/>
                <w:sz w:val="22"/>
              </w:rPr>
              <w:t>✔</w:t>
            </w:r>
          </w:p>
        </w:tc>
      </w:tr>
      <w:tr w:rsidR="00346CA3" w:rsidRPr="00627066" w14:paraId="4297678B" w14:textId="77777777" w:rsidTr="00627066">
        <w:trPr>
          <w:jc w:val="center"/>
        </w:trPr>
        <w:tc>
          <w:tcPr>
            <w:tcW w:w="7626" w:type="dxa"/>
            <w:vAlign w:val="center"/>
          </w:tcPr>
          <w:p w14:paraId="4E4BBB10" w14:textId="77777777" w:rsidR="00346CA3" w:rsidRPr="00627066" w:rsidRDefault="003A3B93" w:rsidP="00627066">
            <w:pPr>
              <w:spacing w:before="120" w:after="120"/>
              <w:contextualSpacing/>
              <w:rPr>
                <w:sz w:val="22"/>
              </w:rPr>
            </w:pPr>
            <w:r w:rsidRPr="00627066">
              <w:rPr>
                <w:sz w:val="22"/>
              </w:rPr>
              <w:t xml:space="preserve">Experience of strategic management, Board, committee or non-executive </w:t>
            </w:r>
            <w:r w:rsidRPr="00627066">
              <w:rPr>
                <w:sz w:val="22"/>
              </w:rPr>
              <w:t>governance</w:t>
            </w:r>
          </w:p>
        </w:tc>
        <w:tc>
          <w:tcPr>
            <w:tcW w:w="1305" w:type="dxa"/>
            <w:vAlign w:val="center"/>
          </w:tcPr>
          <w:p w14:paraId="4A542E47" w14:textId="77777777" w:rsidR="00346CA3" w:rsidRPr="00627066" w:rsidRDefault="00346CA3" w:rsidP="00627066">
            <w:pPr>
              <w:spacing w:before="120" w:after="120"/>
              <w:contextualSpacing/>
              <w:jc w:val="center"/>
              <w:rPr>
                <w:sz w:val="22"/>
              </w:rPr>
            </w:pPr>
          </w:p>
        </w:tc>
        <w:tc>
          <w:tcPr>
            <w:tcW w:w="1329" w:type="dxa"/>
            <w:vAlign w:val="center"/>
          </w:tcPr>
          <w:p w14:paraId="1A802EFD" w14:textId="77777777" w:rsidR="00346CA3" w:rsidRPr="00627066" w:rsidRDefault="003A3B93" w:rsidP="00627066">
            <w:pPr>
              <w:spacing w:before="120" w:after="120"/>
              <w:contextualSpacing/>
              <w:jc w:val="center"/>
              <w:rPr>
                <w:sz w:val="22"/>
              </w:rPr>
            </w:pPr>
            <w:r w:rsidRPr="00627066">
              <w:rPr>
                <w:b/>
                <w:sz w:val="22"/>
              </w:rPr>
              <w:t>✔</w:t>
            </w:r>
          </w:p>
        </w:tc>
      </w:tr>
      <w:tr w:rsidR="00346CA3" w:rsidRPr="00627066" w14:paraId="3D4E85C8" w14:textId="77777777" w:rsidTr="00627066">
        <w:trPr>
          <w:jc w:val="center"/>
        </w:trPr>
        <w:tc>
          <w:tcPr>
            <w:tcW w:w="7626" w:type="dxa"/>
            <w:vAlign w:val="center"/>
          </w:tcPr>
          <w:p w14:paraId="456C0BD9" w14:textId="77777777" w:rsidR="00346CA3" w:rsidRPr="00627066" w:rsidRDefault="003A3B93" w:rsidP="00627066">
            <w:pPr>
              <w:spacing w:before="120" w:after="120"/>
              <w:contextualSpacing/>
              <w:rPr>
                <w:sz w:val="22"/>
              </w:rPr>
            </w:pPr>
            <w:r w:rsidRPr="00627066">
              <w:rPr>
                <w:sz w:val="22"/>
              </w:rPr>
              <w:t>Experience of delivering or overseeing major projects, programmes or investment decisions</w:t>
            </w:r>
          </w:p>
        </w:tc>
        <w:tc>
          <w:tcPr>
            <w:tcW w:w="1305" w:type="dxa"/>
            <w:vAlign w:val="center"/>
          </w:tcPr>
          <w:p w14:paraId="5D0F6131" w14:textId="77777777" w:rsidR="00346CA3" w:rsidRPr="00627066" w:rsidRDefault="00346CA3" w:rsidP="00627066">
            <w:pPr>
              <w:spacing w:before="120" w:after="120"/>
              <w:contextualSpacing/>
              <w:jc w:val="center"/>
              <w:rPr>
                <w:sz w:val="22"/>
              </w:rPr>
            </w:pPr>
          </w:p>
        </w:tc>
        <w:tc>
          <w:tcPr>
            <w:tcW w:w="1329" w:type="dxa"/>
            <w:vAlign w:val="center"/>
          </w:tcPr>
          <w:p w14:paraId="32107B14" w14:textId="77777777" w:rsidR="00346CA3" w:rsidRPr="00627066" w:rsidRDefault="003A3B93" w:rsidP="00627066">
            <w:pPr>
              <w:spacing w:before="120" w:after="120"/>
              <w:contextualSpacing/>
              <w:jc w:val="center"/>
              <w:rPr>
                <w:sz w:val="22"/>
              </w:rPr>
            </w:pPr>
            <w:r w:rsidRPr="00627066">
              <w:rPr>
                <w:b/>
                <w:sz w:val="22"/>
              </w:rPr>
              <w:t>✔</w:t>
            </w:r>
          </w:p>
        </w:tc>
      </w:tr>
      <w:tr w:rsidR="00346CA3" w:rsidRPr="00627066" w14:paraId="119A354E" w14:textId="77777777" w:rsidTr="00627066">
        <w:trPr>
          <w:jc w:val="center"/>
        </w:trPr>
        <w:tc>
          <w:tcPr>
            <w:tcW w:w="7626" w:type="dxa"/>
            <w:vAlign w:val="center"/>
          </w:tcPr>
          <w:p w14:paraId="086F297E" w14:textId="77777777" w:rsidR="00346CA3" w:rsidRPr="00627066" w:rsidRDefault="003A3B93" w:rsidP="00627066">
            <w:pPr>
              <w:spacing w:before="120" w:after="120"/>
              <w:contextualSpacing/>
              <w:rPr>
                <w:sz w:val="22"/>
              </w:rPr>
            </w:pPr>
            <w:r w:rsidRPr="00627066">
              <w:rPr>
                <w:sz w:val="22"/>
              </w:rPr>
              <w:t>Experience of working with or within the public, not-for-profit or regulated sectors</w:t>
            </w:r>
          </w:p>
        </w:tc>
        <w:tc>
          <w:tcPr>
            <w:tcW w:w="1305" w:type="dxa"/>
            <w:vAlign w:val="center"/>
          </w:tcPr>
          <w:p w14:paraId="2B978677" w14:textId="77777777" w:rsidR="00346CA3" w:rsidRPr="00627066" w:rsidRDefault="00346CA3" w:rsidP="00627066">
            <w:pPr>
              <w:spacing w:before="120" w:after="120"/>
              <w:contextualSpacing/>
              <w:jc w:val="center"/>
              <w:rPr>
                <w:sz w:val="22"/>
              </w:rPr>
            </w:pPr>
          </w:p>
        </w:tc>
        <w:tc>
          <w:tcPr>
            <w:tcW w:w="1329" w:type="dxa"/>
            <w:vAlign w:val="center"/>
          </w:tcPr>
          <w:p w14:paraId="6F0E45D7" w14:textId="77777777" w:rsidR="00346CA3" w:rsidRPr="00627066" w:rsidRDefault="003A3B93" w:rsidP="00627066">
            <w:pPr>
              <w:spacing w:before="120" w:after="120"/>
              <w:contextualSpacing/>
              <w:jc w:val="center"/>
              <w:rPr>
                <w:sz w:val="22"/>
              </w:rPr>
            </w:pPr>
            <w:r w:rsidRPr="00627066">
              <w:rPr>
                <w:b/>
                <w:sz w:val="22"/>
              </w:rPr>
              <w:t>✔</w:t>
            </w:r>
          </w:p>
        </w:tc>
      </w:tr>
      <w:tr w:rsidR="00346CA3" w:rsidRPr="00627066" w14:paraId="4997FE18" w14:textId="77777777" w:rsidTr="00627066">
        <w:trPr>
          <w:jc w:val="center"/>
        </w:trPr>
        <w:tc>
          <w:tcPr>
            <w:tcW w:w="10260" w:type="dxa"/>
            <w:gridSpan w:val="3"/>
            <w:shd w:val="clear" w:color="auto" w:fill="7F4E8A"/>
            <w:vAlign w:val="center"/>
          </w:tcPr>
          <w:p w14:paraId="63FBAFE6" w14:textId="77777777" w:rsidR="00346CA3" w:rsidRPr="00627066" w:rsidRDefault="003A3B93" w:rsidP="00627066">
            <w:pPr>
              <w:spacing w:before="120" w:after="120"/>
              <w:jc w:val="center"/>
              <w:rPr>
                <w:sz w:val="22"/>
              </w:rPr>
            </w:pPr>
            <w:r w:rsidRPr="00627066">
              <w:rPr>
                <w:b/>
                <w:color w:val="FFFFFF"/>
                <w:sz w:val="22"/>
              </w:rPr>
              <w:t>Skills and Abilities</w:t>
            </w:r>
          </w:p>
        </w:tc>
      </w:tr>
      <w:tr w:rsidR="00346CA3" w:rsidRPr="00627066" w14:paraId="6ADAF7B8" w14:textId="77777777" w:rsidTr="00627066">
        <w:trPr>
          <w:jc w:val="center"/>
        </w:trPr>
        <w:tc>
          <w:tcPr>
            <w:tcW w:w="7626" w:type="dxa"/>
            <w:vAlign w:val="center"/>
          </w:tcPr>
          <w:p w14:paraId="66FBBC01" w14:textId="77777777" w:rsidR="00346CA3" w:rsidRPr="00627066" w:rsidRDefault="003A3B93" w:rsidP="00627066">
            <w:pPr>
              <w:rPr>
                <w:sz w:val="22"/>
              </w:rPr>
            </w:pPr>
            <w:r w:rsidRPr="00627066">
              <w:rPr>
                <w:sz w:val="22"/>
              </w:rPr>
              <w:t xml:space="preserve">Ability to provide independent, </w:t>
            </w:r>
            <w:r w:rsidRPr="00627066">
              <w:rPr>
                <w:sz w:val="22"/>
              </w:rPr>
              <w:t>balanced and constructive challenge</w:t>
            </w:r>
          </w:p>
        </w:tc>
        <w:tc>
          <w:tcPr>
            <w:tcW w:w="1305" w:type="dxa"/>
            <w:vAlign w:val="center"/>
          </w:tcPr>
          <w:p w14:paraId="626851AC" w14:textId="77777777" w:rsidR="00346CA3" w:rsidRPr="00627066" w:rsidRDefault="003A3B93" w:rsidP="00627066">
            <w:pPr>
              <w:jc w:val="center"/>
              <w:rPr>
                <w:sz w:val="22"/>
              </w:rPr>
            </w:pPr>
            <w:r w:rsidRPr="00627066">
              <w:rPr>
                <w:b/>
                <w:sz w:val="22"/>
              </w:rPr>
              <w:t>✔</w:t>
            </w:r>
          </w:p>
        </w:tc>
        <w:tc>
          <w:tcPr>
            <w:tcW w:w="1329" w:type="dxa"/>
            <w:vAlign w:val="center"/>
          </w:tcPr>
          <w:p w14:paraId="57120F1F" w14:textId="77777777" w:rsidR="00346CA3" w:rsidRPr="00627066" w:rsidRDefault="00346CA3" w:rsidP="00627066">
            <w:pPr>
              <w:jc w:val="center"/>
              <w:rPr>
                <w:sz w:val="22"/>
              </w:rPr>
            </w:pPr>
          </w:p>
        </w:tc>
      </w:tr>
      <w:tr w:rsidR="00346CA3" w:rsidRPr="00627066" w14:paraId="1424CE5D" w14:textId="77777777" w:rsidTr="00627066">
        <w:trPr>
          <w:jc w:val="center"/>
        </w:trPr>
        <w:tc>
          <w:tcPr>
            <w:tcW w:w="7626" w:type="dxa"/>
            <w:vAlign w:val="center"/>
          </w:tcPr>
          <w:p w14:paraId="6D5E376A" w14:textId="77777777" w:rsidR="00346CA3" w:rsidRPr="00627066" w:rsidRDefault="003A3B93" w:rsidP="00627066">
            <w:pPr>
              <w:rPr>
                <w:sz w:val="22"/>
              </w:rPr>
            </w:pPr>
            <w:r w:rsidRPr="00627066">
              <w:rPr>
                <w:sz w:val="22"/>
              </w:rPr>
              <w:t>Strong analytical skills and ability to interpret complex reports, financial information, business cases and risk information</w:t>
            </w:r>
          </w:p>
        </w:tc>
        <w:tc>
          <w:tcPr>
            <w:tcW w:w="1305" w:type="dxa"/>
            <w:vAlign w:val="center"/>
          </w:tcPr>
          <w:p w14:paraId="5280DB29" w14:textId="77777777" w:rsidR="00346CA3" w:rsidRPr="00627066" w:rsidRDefault="003A3B93" w:rsidP="00627066">
            <w:pPr>
              <w:jc w:val="center"/>
              <w:rPr>
                <w:sz w:val="22"/>
              </w:rPr>
            </w:pPr>
            <w:r w:rsidRPr="00627066">
              <w:rPr>
                <w:b/>
                <w:sz w:val="22"/>
              </w:rPr>
              <w:t>✔</w:t>
            </w:r>
          </w:p>
        </w:tc>
        <w:tc>
          <w:tcPr>
            <w:tcW w:w="1329" w:type="dxa"/>
            <w:vAlign w:val="center"/>
          </w:tcPr>
          <w:p w14:paraId="3464A543" w14:textId="77777777" w:rsidR="00346CA3" w:rsidRPr="00627066" w:rsidRDefault="00346CA3" w:rsidP="00627066">
            <w:pPr>
              <w:jc w:val="center"/>
              <w:rPr>
                <w:sz w:val="22"/>
              </w:rPr>
            </w:pPr>
          </w:p>
        </w:tc>
      </w:tr>
      <w:tr w:rsidR="00346CA3" w:rsidRPr="00627066" w14:paraId="15BF4CAD" w14:textId="77777777" w:rsidTr="00627066">
        <w:trPr>
          <w:jc w:val="center"/>
        </w:trPr>
        <w:tc>
          <w:tcPr>
            <w:tcW w:w="7626" w:type="dxa"/>
            <w:vAlign w:val="center"/>
          </w:tcPr>
          <w:p w14:paraId="630D8326" w14:textId="77777777" w:rsidR="00346CA3" w:rsidRPr="00627066" w:rsidRDefault="003A3B93" w:rsidP="00627066">
            <w:pPr>
              <w:rPr>
                <w:sz w:val="22"/>
              </w:rPr>
            </w:pPr>
            <w:r w:rsidRPr="00627066">
              <w:rPr>
                <w:sz w:val="22"/>
              </w:rPr>
              <w:t>Good listening, communication and questioning skills</w:t>
            </w:r>
          </w:p>
        </w:tc>
        <w:tc>
          <w:tcPr>
            <w:tcW w:w="1305" w:type="dxa"/>
            <w:vAlign w:val="center"/>
          </w:tcPr>
          <w:p w14:paraId="186D3FF2" w14:textId="77777777" w:rsidR="00346CA3" w:rsidRPr="00627066" w:rsidRDefault="003A3B93" w:rsidP="00627066">
            <w:pPr>
              <w:jc w:val="center"/>
              <w:rPr>
                <w:sz w:val="22"/>
              </w:rPr>
            </w:pPr>
            <w:r w:rsidRPr="00627066">
              <w:rPr>
                <w:b/>
                <w:sz w:val="22"/>
              </w:rPr>
              <w:t>✔</w:t>
            </w:r>
          </w:p>
        </w:tc>
        <w:tc>
          <w:tcPr>
            <w:tcW w:w="1329" w:type="dxa"/>
            <w:vAlign w:val="center"/>
          </w:tcPr>
          <w:p w14:paraId="323AD30C" w14:textId="77777777" w:rsidR="00346CA3" w:rsidRPr="00627066" w:rsidRDefault="00346CA3" w:rsidP="00627066">
            <w:pPr>
              <w:jc w:val="center"/>
              <w:rPr>
                <w:sz w:val="22"/>
              </w:rPr>
            </w:pPr>
          </w:p>
        </w:tc>
      </w:tr>
      <w:tr w:rsidR="00346CA3" w:rsidRPr="00627066" w14:paraId="330BF6C1" w14:textId="77777777" w:rsidTr="00627066">
        <w:trPr>
          <w:jc w:val="center"/>
        </w:trPr>
        <w:tc>
          <w:tcPr>
            <w:tcW w:w="7626" w:type="dxa"/>
            <w:vAlign w:val="center"/>
          </w:tcPr>
          <w:p w14:paraId="66ED501A" w14:textId="77777777" w:rsidR="00346CA3" w:rsidRPr="00627066" w:rsidRDefault="003A3B93" w:rsidP="00627066">
            <w:pPr>
              <w:rPr>
                <w:sz w:val="22"/>
              </w:rPr>
            </w:pPr>
            <w:r w:rsidRPr="00627066">
              <w:rPr>
                <w:sz w:val="22"/>
              </w:rPr>
              <w:t xml:space="preserve">Ability to work as part of a </w:t>
            </w:r>
            <w:r w:rsidRPr="00627066">
              <w:rPr>
                <w:sz w:val="22"/>
              </w:rPr>
              <w:t>Board team and build effective working relationships</w:t>
            </w:r>
          </w:p>
        </w:tc>
        <w:tc>
          <w:tcPr>
            <w:tcW w:w="1305" w:type="dxa"/>
            <w:vAlign w:val="center"/>
          </w:tcPr>
          <w:p w14:paraId="3926EBAF" w14:textId="77777777" w:rsidR="00346CA3" w:rsidRPr="00627066" w:rsidRDefault="003A3B93" w:rsidP="00627066">
            <w:pPr>
              <w:jc w:val="center"/>
              <w:rPr>
                <w:sz w:val="22"/>
              </w:rPr>
            </w:pPr>
            <w:r w:rsidRPr="00627066">
              <w:rPr>
                <w:b/>
                <w:sz w:val="22"/>
              </w:rPr>
              <w:t>✔</w:t>
            </w:r>
          </w:p>
        </w:tc>
        <w:tc>
          <w:tcPr>
            <w:tcW w:w="1329" w:type="dxa"/>
            <w:vAlign w:val="center"/>
          </w:tcPr>
          <w:p w14:paraId="252C642E" w14:textId="77777777" w:rsidR="00346CA3" w:rsidRPr="00627066" w:rsidRDefault="00346CA3" w:rsidP="00627066">
            <w:pPr>
              <w:jc w:val="center"/>
              <w:rPr>
                <w:sz w:val="22"/>
              </w:rPr>
            </w:pPr>
          </w:p>
        </w:tc>
      </w:tr>
      <w:tr w:rsidR="00346CA3" w:rsidRPr="00627066" w14:paraId="5DB3D0A7" w14:textId="77777777" w:rsidTr="00627066">
        <w:trPr>
          <w:jc w:val="center"/>
        </w:trPr>
        <w:tc>
          <w:tcPr>
            <w:tcW w:w="7626" w:type="dxa"/>
            <w:vAlign w:val="center"/>
          </w:tcPr>
          <w:p w14:paraId="6D060CDF" w14:textId="77777777" w:rsidR="00346CA3" w:rsidRPr="00627066" w:rsidRDefault="003A3B93" w:rsidP="00627066">
            <w:pPr>
              <w:rPr>
                <w:sz w:val="22"/>
              </w:rPr>
            </w:pPr>
            <w:r w:rsidRPr="00627066">
              <w:rPr>
                <w:sz w:val="22"/>
              </w:rPr>
              <w:t>Ability to manage personal and corporate relationships with integrity and professionalism</w:t>
            </w:r>
          </w:p>
        </w:tc>
        <w:tc>
          <w:tcPr>
            <w:tcW w:w="1305" w:type="dxa"/>
            <w:vAlign w:val="center"/>
          </w:tcPr>
          <w:p w14:paraId="1C28C126" w14:textId="77777777" w:rsidR="00346CA3" w:rsidRPr="00627066" w:rsidRDefault="003A3B93" w:rsidP="00627066">
            <w:pPr>
              <w:jc w:val="center"/>
              <w:rPr>
                <w:sz w:val="22"/>
              </w:rPr>
            </w:pPr>
            <w:r w:rsidRPr="00627066">
              <w:rPr>
                <w:b/>
                <w:sz w:val="22"/>
              </w:rPr>
              <w:t>✔</w:t>
            </w:r>
          </w:p>
        </w:tc>
        <w:tc>
          <w:tcPr>
            <w:tcW w:w="1329" w:type="dxa"/>
            <w:vAlign w:val="center"/>
          </w:tcPr>
          <w:p w14:paraId="62868547" w14:textId="77777777" w:rsidR="00346CA3" w:rsidRPr="00627066" w:rsidRDefault="00346CA3" w:rsidP="00627066">
            <w:pPr>
              <w:jc w:val="center"/>
              <w:rPr>
                <w:sz w:val="22"/>
              </w:rPr>
            </w:pPr>
          </w:p>
        </w:tc>
      </w:tr>
      <w:tr w:rsidR="00346CA3" w:rsidRPr="00627066" w14:paraId="0079E5EC" w14:textId="77777777" w:rsidTr="00627066">
        <w:trPr>
          <w:jc w:val="center"/>
        </w:trPr>
        <w:tc>
          <w:tcPr>
            <w:tcW w:w="7626" w:type="dxa"/>
            <w:vAlign w:val="center"/>
          </w:tcPr>
          <w:p w14:paraId="56588B08" w14:textId="77777777" w:rsidR="00346CA3" w:rsidRPr="00627066" w:rsidRDefault="003A3B93" w:rsidP="00627066">
            <w:pPr>
              <w:rPr>
                <w:sz w:val="22"/>
              </w:rPr>
            </w:pPr>
            <w:r w:rsidRPr="00627066">
              <w:rPr>
                <w:sz w:val="22"/>
              </w:rPr>
              <w:t xml:space="preserve">Ability to focus on strategic issues while respecting the distinction between governance and operational </w:t>
            </w:r>
            <w:r w:rsidRPr="00627066">
              <w:rPr>
                <w:sz w:val="22"/>
              </w:rPr>
              <w:t>management</w:t>
            </w:r>
          </w:p>
        </w:tc>
        <w:tc>
          <w:tcPr>
            <w:tcW w:w="1305" w:type="dxa"/>
            <w:vAlign w:val="center"/>
          </w:tcPr>
          <w:p w14:paraId="1DDA8F1F" w14:textId="77777777" w:rsidR="00346CA3" w:rsidRPr="00627066" w:rsidRDefault="003A3B93" w:rsidP="00627066">
            <w:pPr>
              <w:jc w:val="center"/>
              <w:rPr>
                <w:sz w:val="22"/>
              </w:rPr>
            </w:pPr>
            <w:r w:rsidRPr="00627066">
              <w:rPr>
                <w:b/>
                <w:sz w:val="22"/>
              </w:rPr>
              <w:t>✔</w:t>
            </w:r>
          </w:p>
        </w:tc>
        <w:tc>
          <w:tcPr>
            <w:tcW w:w="1329" w:type="dxa"/>
            <w:vAlign w:val="center"/>
          </w:tcPr>
          <w:p w14:paraId="64B14A3D" w14:textId="77777777" w:rsidR="00346CA3" w:rsidRPr="00627066" w:rsidRDefault="00346CA3" w:rsidP="00627066">
            <w:pPr>
              <w:jc w:val="center"/>
              <w:rPr>
                <w:sz w:val="22"/>
              </w:rPr>
            </w:pPr>
          </w:p>
        </w:tc>
      </w:tr>
      <w:tr w:rsidR="00346CA3" w:rsidRPr="00627066" w14:paraId="1A4E7110" w14:textId="77777777" w:rsidTr="00627066">
        <w:trPr>
          <w:jc w:val="center"/>
        </w:trPr>
        <w:tc>
          <w:tcPr>
            <w:tcW w:w="7626" w:type="dxa"/>
            <w:vAlign w:val="center"/>
          </w:tcPr>
          <w:p w14:paraId="5F764774" w14:textId="32A5D8A9" w:rsidR="00346CA3" w:rsidRPr="00627066" w:rsidRDefault="00BC1408" w:rsidP="00627066">
            <w:pPr>
              <w:rPr>
                <w:sz w:val="22"/>
              </w:rPr>
            </w:pPr>
            <w:r w:rsidRPr="00BC1408">
              <w:rPr>
                <w:sz w:val="22"/>
              </w:rPr>
              <w:t>Competent use of IT, including Microsoft Word, Excel, Teams and SharePoint</w:t>
            </w:r>
          </w:p>
        </w:tc>
        <w:tc>
          <w:tcPr>
            <w:tcW w:w="1305" w:type="dxa"/>
            <w:vAlign w:val="center"/>
          </w:tcPr>
          <w:p w14:paraId="57A01A3C" w14:textId="77777777" w:rsidR="00346CA3" w:rsidRPr="00627066" w:rsidRDefault="003A3B93" w:rsidP="00627066">
            <w:pPr>
              <w:jc w:val="center"/>
              <w:rPr>
                <w:sz w:val="22"/>
              </w:rPr>
            </w:pPr>
            <w:r w:rsidRPr="00627066">
              <w:rPr>
                <w:b/>
                <w:sz w:val="22"/>
              </w:rPr>
              <w:t>✔</w:t>
            </w:r>
          </w:p>
        </w:tc>
        <w:tc>
          <w:tcPr>
            <w:tcW w:w="1329" w:type="dxa"/>
            <w:vAlign w:val="center"/>
          </w:tcPr>
          <w:p w14:paraId="341B6715" w14:textId="77777777" w:rsidR="00346CA3" w:rsidRPr="00627066" w:rsidRDefault="00346CA3" w:rsidP="00627066">
            <w:pPr>
              <w:jc w:val="center"/>
              <w:rPr>
                <w:sz w:val="22"/>
              </w:rPr>
            </w:pPr>
          </w:p>
        </w:tc>
      </w:tr>
      <w:tr w:rsidR="00346CA3" w:rsidRPr="00627066" w14:paraId="39798B24" w14:textId="77777777" w:rsidTr="00627066">
        <w:trPr>
          <w:jc w:val="center"/>
        </w:trPr>
        <w:tc>
          <w:tcPr>
            <w:tcW w:w="7626" w:type="dxa"/>
            <w:vAlign w:val="center"/>
          </w:tcPr>
          <w:p w14:paraId="4E5443E2" w14:textId="77777777" w:rsidR="00346CA3" w:rsidRPr="00627066" w:rsidRDefault="003A3B93" w:rsidP="00627066">
            <w:pPr>
              <w:rPr>
                <w:sz w:val="22"/>
              </w:rPr>
            </w:pPr>
            <w:r w:rsidRPr="00627066">
              <w:rPr>
                <w:sz w:val="22"/>
              </w:rPr>
              <w:t>Effective networking and stakeholder engagement skills</w:t>
            </w:r>
          </w:p>
        </w:tc>
        <w:tc>
          <w:tcPr>
            <w:tcW w:w="1305" w:type="dxa"/>
            <w:vAlign w:val="center"/>
          </w:tcPr>
          <w:p w14:paraId="11BD2379" w14:textId="77777777" w:rsidR="00346CA3" w:rsidRPr="00627066" w:rsidRDefault="00346CA3" w:rsidP="00627066">
            <w:pPr>
              <w:jc w:val="center"/>
              <w:rPr>
                <w:sz w:val="22"/>
              </w:rPr>
            </w:pPr>
          </w:p>
        </w:tc>
        <w:tc>
          <w:tcPr>
            <w:tcW w:w="1329" w:type="dxa"/>
            <w:vAlign w:val="center"/>
          </w:tcPr>
          <w:p w14:paraId="2006A1CA" w14:textId="77777777" w:rsidR="00346CA3" w:rsidRPr="00627066" w:rsidRDefault="003A3B93" w:rsidP="00627066">
            <w:pPr>
              <w:jc w:val="center"/>
              <w:rPr>
                <w:sz w:val="22"/>
              </w:rPr>
            </w:pPr>
            <w:r w:rsidRPr="00627066">
              <w:rPr>
                <w:b/>
                <w:sz w:val="22"/>
              </w:rPr>
              <w:t>✔</w:t>
            </w:r>
          </w:p>
        </w:tc>
      </w:tr>
      <w:tr w:rsidR="00346CA3" w:rsidRPr="00627066" w14:paraId="0ED7F81B" w14:textId="77777777" w:rsidTr="00627066">
        <w:trPr>
          <w:jc w:val="center"/>
        </w:trPr>
        <w:tc>
          <w:tcPr>
            <w:tcW w:w="7626" w:type="dxa"/>
            <w:vAlign w:val="center"/>
          </w:tcPr>
          <w:p w14:paraId="06DBA5DE" w14:textId="77777777" w:rsidR="00346CA3" w:rsidRPr="00627066" w:rsidRDefault="003A3B93" w:rsidP="00627066">
            <w:pPr>
              <w:rPr>
                <w:sz w:val="22"/>
              </w:rPr>
            </w:pPr>
            <w:r w:rsidRPr="00627066">
              <w:rPr>
                <w:sz w:val="22"/>
              </w:rPr>
              <w:t>Leadership and influencing skills</w:t>
            </w:r>
          </w:p>
        </w:tc>
        <w:tc>
          <w:tcPr>
            <w:tcW w:w="1305" w:type="dxa"/>
            <w:vAlign w:val="center"/>
          </w:tcPr>
          <w:p w14:paraId="3376FB8F" w14:textId="77777777" w:rsidR="00346CA3" w:rsidRPr="00627066" w:rsidRDefault="00346CA3" w:rsidP="00627066">
            <w:pPr>
              <w:jc w:val="center"/>
              <w:rPr>
                <w:sz w:val="22"/>
              </w:rPr>
            </w:pPr>
          </w:p>
        </w:tc>
        <w:tc>
          <w:tcPr>
            <w:tcW w:w="1329" w:type="dxa"/>
            <w:vAlign w:val="center"/>
          </w:tcPr>
          <w:p w14:paraId="769D627B" w14:textId="77777777" w:rsidR="00346CA3" w:rsidRPr="00627066" w:rsidRDefault="003A3B93" w:rsidP="00627066">
            <w:pPr>
              <w:jc w:val="center"/>
              <w:rPr>
                <w:sz w:val="22"/>
              </w:rPr>
            </w:pPr>
            <w:r w:rsidRPr="00627066">
              <w:rPr>
                <w:b/>
                <w:sz w:val="22"/>
              </w:rPr>
              <w:t>✔</w:t>
            </w:r>
          </w:p>
        </w:tc>
      </w:tr>
    </w:tbl>
    <w:p w14:paraId="01398D31" w14:textId="77777777" w:rsidR="00627066" w:rsidRDefault="00627066" w:rsidP="00627066">
      <w:pPr>
        <w:spacing w:before="120" w:after="120"/>
        <w:jc w:val="both"/>
      </w:pPr>
    </w:p>
    <w:p w14:paraId="0E55DB2F" w14:textId="01E31F6F" w:rsidR="00346CA3" w:rsidRPr="00627066" w:rsidRDefault="003A3B93" w:rsidP="00627066">
      <w:pPr>
        <w:pStyle w:val="Heading1"/>
        <w:spacing w:before="120" w:after="120" w:line="240" w:lineRule="auto"/>
        <w:jc w:val="both"/>
        <w:rPr>
          <w:szCs w:val="24"/>
        </w:rPr>
      </w:pPr>
      <w:r w:rsidRPr="00627066">
        <w:rPr>
          <w:rFonts w:ascii="Arial" w:hAnsi="Arial"/>
          <w:color w:val="5A166B"/>
          <w:szCs w:val="24"/>
        </w:rPr>
        <w:t>Conduct and Governance Expectations</w:t>
      </w:r>
    </w:p>
    <w:p w14:paraId="0EC65678" w14:textId="77777777" w:rsidR="00346CA3" w:rsidRPr="00627066" w:rsidRDefault="003A3B93" w:rsidP="00627066">
      <w:pPr>
        <w:pStyle w:val="ListBullet"/>
        <w:tabs>
          <w:tab w:val="clear" w:pos="360"/>
        </w:tabs>
        <w:spacing w:before="120" w:after="120" w:line="240" w:lineRule="auto"/>
        <w:contextualSpacing w:val="0"/>
        <w:jc w:val="both"/>
        <w:rPr>
          <w:sz w:val="22"/>
        </w:rPr>
      </w:pPr>
      <w:r w:rsidRPr="00627066">
        <w:rPr>
          <w:sz w:val="22"/>
        </w:rPr>
        <w:t xml:space="preserve">Comply with STAR </w:t>
      </w:r>
      <w:r w:rsidRPr="00627066">
        <w:rPr>
          <w:sz w:val="22"/>
        </w:rPr>
        <w:t>Housing’s Board Code of Conduct and relevant policies.</w:t>
      </w:r>
    </w:p>
    <w:p w14:paraId="69EFFC81" w14:textId="77777777" w:rsidR="00346CA3" w:rsidRPr="00627066" w:rsidRDefault="003A3B93" w:rsidP="00627066">
      <w:pPr>
        <w:pStyle w:val="ListBullet"/>
        <w:tabs>
          <w:tab w:val="clear" w:pos="360"/>
        </w:tabs>
        <w:spacing w:before="120" w:after="120" w:line="240" w:lineRule="auto"/>
        <w:contextualSpacing w:val="0"/>
        <w:jc w:val="both"/>
        <w:rPr>
          <w:sz w:val="22"/>
        </w:rPr>
      </w:pPr>
      <w:r w:rsidRPr="00627066">
        <w:rPr>
          <w:sz w:val="22"/>
        </w:rPr>
        <w:t>Declare all relevant interests and manage conflicts of interest appropriately.</w:t>
      </w:r>
    </w:p>
    <w:p w14:paraId="36B6C292" w14:textId="77777777" w:rsidR="00346CA3" w:rsidRPr="00627066" w:rsidRDefault="003A3B93" w:rsidP="00627066">
      <w:pPr>
        <w:pStyle w:val="ListBullet"/>
        <w:tabs>
          <w:tab w:val="clear" w:pos="360"/>
        </w:tabs>
        <w:spacing w:before="120" w:after="120" w:line="240" w:lineRule="auto"/>
        <w:contextualSpacing w:val="0"/>
        <w:jc w:val="both"/>
        <w:rPr>
          <w:sz w:val="22"/>
        </w:rPr>
      </w:pPr>
      <w:r w:rsidRPr="00627066">
        <w:rPr>
          <w:sz w:val="22"/>
        </w:rPr>
        <w:t>Maintain confidentiality and information security at all times.</w:t>
      </w:r>
    </w:p>
    <w:p w14:paraId="1C532F7C" w14:textId="77777777" w:rsidR="00346CA3" w:rsidRPr="00627066" w:rsidRDefault="003A3B93" w:rsidP="00627066">
      <w:pPr>
        <w:pStyle w:val="ListBullet"/>
        <w:tabs>
          <w:tab w:val="clear" w:pos="360"/>
        </w:tabs>
        <w:spacing w:before="120" w:after="120" w:line="240" w:lineRule="auto"/>
        <w:contextualSpacing w:val="0"/>
        <w:jc w:val="both"/>
        <w:rPr>
          <w:sz w:val="22"/>
        </w:rPr>
      </w:pPr>
      <w:r w:rsidRPr="00627066">
        <w:rPr>
          <w:sz w:val="22"/>
        </w:rPr>
        <w:t>Avoid any action that could compromise the reputation, ind</w:t>
      </w:r>
      <w:r w:rsidRPr="00627066">
        <w:rPr>
          <w:sz w:val="22"/>
        </w:rPr>
        <w:t>ependence or integrity of STAR Housing.</w:t>
      </w:r>
    </w:p>
    <w:p w14:paraId="3E5176B9" w14:textId="77777777" w:rsidR="00346CA3" w:rsidRPr="00627066" w:rsidRDefault="003A3B93" w:rsidP="00627066">
      <w:pPr>
        <w:pStyle w:val="ListBullet"/>
        <w:tabs>
          <w:tab w:val="clear" w:pos="360"/>
        </w:tabs>
        <w:spacing w:before="120" w:after="120" w:line="240" w:lineRule="auto"/>
        <w:contextualSpacing w:val="0"/>
        <w:jc w:val="both"/>
        <w:rPr>
          <w:sz w:val="22"/>
        </w:rPr>
      </w:pPr>
      <w:r w:rsidRPr="00627066">
        <w:rPr>
          <w:sz w:val="22"/>
        </w:rPr>
        <w:t>Promote equality, diversity, inclusion and respectful working relationships.</w:t>
      </w:r>
    </w:p>
    <w:p w14:paraId="56446668" w14:textId="77777777" w:rsidR="00346CA3" w:rsidRDefault="003A3B93" w:rsidP="00627066">
      <w:pPr>
        <w:pStyle w:val="ListBullet"/>
        <w:tabs>
          <w:tab w:val="clear" w:pos="360"/>
        </w:tabs>
        <w:spacing w:before="120" w:after="120" w:line="240" w:lineRule="auto"/>
        <w:contextualSpacing w:val="0"/>
        <w:jc w:val="both"/>
        <w:rPr>
          <w:sz w:val="22"/>
        </w:rPr>
      </w:pPr>
      <w:r w:rsidRPr="00627066">
        <w:rPr>
          <w:sz w:val="22"/>
        </w:rPr>
        <w:t>Support collective decision-making and accept collective responsibility for Board decisions.</w:t>
      </w:r>
    </w:p>
    <w:p w14:paraId="47A9E637" w14:textId="77777777" w:rsidR="00627066" w:rsidRPr="00627066" w:rsidRDefault="00627066" w:rsidP="00627066">
      <w:pPr>
        <w:pStyle w:val="ListBullet"/>
        <w:numPr>
          <w:ilvl w:val="0"/>
          <w:numId w:val="0"/>
        </w:numPr>
        <w:spacing w:before="120" w:after="120" w:line="240" w:lineRule="auto"/>
        <w:contextualSpacing w:val="0"/>
        <w:jc w:val="both"/>
        <w:rPr>
          <w:sz w:val="22"/>
        </w:rPr>
      </w:pPr>
    </w:p>
    <w:p w14:paraId="19197D66" w14:textId="77777777" w:rsidR="00346CA3" w:rsidRPr="00627066" w:rsidRDefault="003A3B93" w:rsidP="00627066">
      <w:pPr>
        <w:pStyle w:val="Heading1"/>
        <w:spacing w:before="120" w:after="120" w:line="240" w:lineRule="auto"/>
        <w:jc w:val="both"/>
        <w:rPr>
          <w:szCs w:val="24"/>
        </w:rPr>
      </w:pPr>
      <w:r w:rsidRPr="00627066">
        <w:rPr>
          <w:rFonts w:ascii="Arial" w:hAnsi="Arial"/>
          <w:color w:val="5A166B"/>
          <w:szCs w:val="24"/>
        </w:rPr>
        <w:t>Role Boundaries</w:t>
      </w:r>
    </w:p>
    <w:p w14:paraId="61D1F6A5" w14:textId="4EF00BA1" w:rsidR="00627066" w:rsidRDefault="003A3B93" w:rsidP="00627066">
      <w:pPr>
        <w:spacing w:before="120" w:after="120" w:line="240" w:lineRule="auto"/>
        <w:jc w:val="both"/>
        <w:rPr>
          <w:sz w:val="22"/>
        </w:rPr>
      </w:pPr>
      <w:r w:rsidRPr="00627066">
        <w:rPr>
          <w:sz w:val="22"/>
        </w:rPr>
        <w:t xml:space="preserve">The Co-optee Board Member is </w:t>
      </w:r>
      <w:r w:rsidRPr="00627066">
        <w:rPr>
          <w:sz w:val="22"/>
        </w:rPr>
        <w:t xml:space="preserve">appointed to provide strategic oversight, assurance, specialist advice and constructive challenge. The role does not carry operational management responsibility. The Co-optee will not direct staff or become involved in day-to-day service delivery, but may </w:t>
      </w:r>
      <w:r w:rsidRPr="00627066">
        <w:rPr>
          <w:sz w:val="22"/>
        </w:rPr>
        <w:t>ask questions, request assurance and contribute to Board and subcommittee decisions in accordance with STAR Housing’s governance framework.</w:t>
      </w:r>
    </w:p>
    <w:p w14:paraId="5ED6BF2F" w14:textId="77777777" w:rsidR="00627066" w:rsidRPr="00627066" w:rsidRDefault="00627066" w:rsidP="00627066">
      <w:pPr>
        <w:spacing w:before="120" w:after="120" w:line="240" w:lineRule="auto"/>
        <w:jc w:val="both"/>
        <w:rPr>
          <w:sz w:val="22"/>
        </w:rPr>
      </w:pPr>
    </w:p>
    <w:p w14:paraId="6664540A" w14:textId="77777777" w:rsidR="00346CA3" w:rsidRPr="00627066" w:rsidRDefault="003A3B93" w:rsidP="00627066">
      <w:pPr>
        <w:pStyle w:val="Heading1"/>
        <w:spacing w:before="120" w:after="120" w:line="240" w:lineRule="auto"/>
        <w:jc w:val="both"/>
        <w:rPr>
          <w:szCs w:val="24"/>
        </w:rPr>
      </w:pPr>
      <w:r w:rsidRPr="00627066">
        <w:rPr>
          <w:rFonts w:ascii="Arial" w:hAnsi="Arial"/>
          <w:color w:val="5A166B"/>
          <w:szCs w:val="24"/>
        </w:rPr>
        <w:t>Review</w:t>
      </w:r>
    </w:p>
    <w:p w14:paraId="31F8F71A" w14:textId="02604B4B" w:rsidR="00346CA3" w:rsidRPr="00627066" w:rsidRDefault="003A3B93" w:rsidP="00627066">
      <w:pPr>
        <w:spacing w:before="120" w:after="120" w:line="240" w:lineRule="auto"/>
        <w:jc w:val="both"/>
        <w:rPr>
          <w:sz w:val="22"/>
        </w:rPr>
      </w:pPr>
      <w:r w:rsidRPr="00627066">
        <w:rPr>
          <w:sz w:val="22"/>
        </w:rPr>
        <w:t xml:space="preserve">This role description and person specification should be reviewed periodically to ensure it remains </w:t>
      </w:r>
      <w:r w:rsidR="00BC1408" w:rsidRPr="00BC1408">
        <w:rPr>
          <w:sz w:val="22"/>
        </w:rPr>
        <w:t>aligned with STAR Housing’s governance arrangements, Board skills matrix, corporate priorities, and current recruitment needs.</w:t>
      </w:r>
    </w:p>
    <w:sectPr w:rsidR="00346CA3" w:rsidRPr="00627066" w:rsidSect="00034616">
      <w:foot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D5566" w14:textId="77777777" w:rsidR="003A3B93" w:rsidRDefault="003A3B93">
      <w:pPr>
        <w:spacing w:after="0" w:line="240" w:lineRule="auto"/>
      </w:pPr>
      <w:r>
        <w:separator/>
      </w:r>
    </w:p>
  </w:endnote>
  <w:endnote w:type="continuationSeparator" w:id="0">
    <w:p w14:paraId="29A84A9B" w14:textId="77777777" w:rsidR="003A3B93" w:rsidRDefault="003A3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D8468" w14:textId="77777777" w:rsidR="00346CA3" w:rsidRDefault="003A3B93">
    <w:pPr>
      <w:pStyle w:val="Footer"/>
      <w:jc w:val="center"/>
    </w:pPr>
    <w:r>
      <w:t>STAR Housing | Co-</w:t>
    </w:r>
    <w:proofErr w:type="spellStart"/>
    <w:r>
      <w:t>optee</w:t>
    </w:r>
    <w:proofErr w:type="spellEnd"/>
    <w:r>
      <w:t xml:space="preserve"> Board Member Role Description and Person Spe</w:t>
    </w:r>
    <w:r>
      <w:t>cification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755D4" w14:textId="77777777" w:rsidR="003A3B93" w:rsidRDefault="003A3B93">
      <w:pPr>
        <w:spacing w:after="0" w:line="240" w:lineRule="auto"/>
      </w:pPr>
      <w:r>
        <w:separator/>
      </w:r>
    </w:p>
  </w:footnote>
  <w:footnote w:type="continuationSeparator" w:id="0">
    <w:p w14:paraId="54B83623" w14:textId="77777777" w:rsidR="003A3B93" w:rsidRDefault="003A3B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59CAE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575"/>
    <w:rsid w:val="00034616"/>
    <w:rsid w:val="0006063C"/>
    <w:rsid w:val="000A2C4B"/>
    <w:rsid w:val="000F50BC"/>
    <w:rsid w:val="0015074B"/>
    <w:rsid w:val="002443AF"/>
    <w:rsid w:val="0029639D"/>
    <w:rsid w:val="00326F90"/>
    <w:rsid w:val="00346CA3"/>
    <w:rsid w:val="003A3B93"/>
    <w:rsid w:val="00627066"/>
    <w:rsid w:val="00817B58"/>
    <w:rsid w:val="00AA1D8D"/>
    <w:rsid w:val="00B47730"/>
    <w:rsid w:val="00BC1408"/>
    <w:rsid w:val="00CB0664"/>
    <w:rsid w:val="00D23D0C"/>
    <w:rsid w:val="00ED26D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4DD840"/>
  <w14:defaultImageDpi w14:val="300"/>
  <w15:docId w15:val="{5A837DDE-20C5-4257-9CBC-8FE68374E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30509-C723-4D31-9F12-5D815C939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1346</Words>
  <Characters>7677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Emily Parry</cp:lastModifiedBy>
  <cp:revision>2</cp:revision>
  <dcterms:created xsi:type="dcterms:W3CDTF">2026-06-15T11:01:00Z</dcterms:created>
  <dcterms:modified xsi:type="dcterms:W3CDTF">2026-06-15T11:01:00Z</dcterms:modified>
  <cp:category/>
</cp:coreProperties>
</file>