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EE15" w14:textId="0F3D843D" w:rsidR="0055427F" w:rsidRDefault="0055427F" w:rsidP="0055427F">
      <w:pPr>
        <w:rPr>
          <w:b/>
          <w:bCs/>
        </w:rPr>
      </w:pPr>
    </w:p>
    <w:p w14:paraId="546148FB" w14:textId="77777777" w:rsidR="0055427F" w:rsidRDefault="0055427F" w:rsidP="0055427F">
      <w:pPr>
        <w:rPr>
          <w:b/>
          <w:bCs/>
        </w:rPr>
      </w:pPr>
    </w:p>
    <w:p w14:paraId="43320AE3" w14:textId="77777777" w:rsidR="0055427F" w:rsidRDefault="0055427F" w:rsidP="0055427F">
      <w:pPr>
        <w:rPr>
          <w:b/>
          <w:bCs/>
        </w:rPr>
      </w:pPr>
    </w:p>
    <w:p w14:paraId="1807153C" w14:textId="77777777" w:rsidR="0055427F" w:rsidRDefault="0055427F" w:rsidP="0055427F">
      <w:pPr>
        <w:rPr>
          <w:rFonts w:ascii="Calibri" w:hAnsi="Calibri" w:cs="Calibri"/>
          <w:b/>
          <w:bCs/>
          <w:sz w:val="72"/>
          <w:szCs w:val="72"/>
        </w:rPr>
      </w:pPr>
    </w:p>
    <w:p w14:paraId="6FCA5C85" w14:textId="6E61318F" w:rsidR="0055427F" w:rsidRDefault="0055427F" w:rsidP="0055427F">
      <w:pPr>
        <w:rPr>
          <w:rFonts w:ascii="Calibri" w:hAnsi="Calibri" w:cs="Calibri"/>
          <w:b/>
          <w:bCs/>
          <w:sz w:val="72"/>
          <w:szCs w:val="72"/>
        </w:rPr>
      </w:pPr>
      <w:r>
        <w:rPr>
          <w:rFonts w:ascii="Calibri" w:hAnsi="Calibri" w:cs="Calibri"/>
          <w:b/>
          <w:bCs/>
          <w:noProof/>
          <w:color w:val="000000" w:themeColor="text1"/>
          <w:sz w:val="56"/>
          <w:szCs w:val="56"/>
        </w:rPr>
        <w:drawing>
          <wp:inline distT="0" distB="0" distL="0" distR="0" wp14:anchorId="21B720C7" wp14:editId="09714671">
            <wp:extent cx="1590070" cy="838200"/>
            <wp:effectExtent l="0" t="0" r="0" b="0"/>
            <wp:docPr id="914957620" name="Picture 1" descr="A logo with a tree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57620" name="Picture 1" descr="A logo with a tree and a 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2809" cy="839644"/>
                    </a:xfrm>
                    <a:prstGeom prst="rect">
                      <a:avLst/>
                    </a:prstGeom>
                    <a:noFill/>
                  </pic:spPr>
                </pic:pic>
              </a:graphicData>
            </a:graphic>
          </wp:inline>
        </w:drawing>
      </w:r>
    </w:p>
    <w:p w14:paraId="5C29DE3D" w14:textId="77777777" w:rsidR="00334A7C" w:rsidRDefault="00334A7C" w:rsidP="0055427F">
      <w:pPr>
        <w:rPr>
          <w:rFonts w:ascii="Calibri" w:hAnsi="Calibri" w:cs="Calibri"/>
          <w:b/>
          <w:bCs/>
          <w:sz w:val="72"/>
          <w:szCs w:val="72"/>
        </w:rPr>
      </w:pPr>
    </w:p>
    <w:p w14:paraId="1D9784C5" w14:textId="77777777" w:rsidR="00334A7C" w:rsidRDefault="00334A7C" w:rsidP="0055427F">
      <w:pPr>
        <w:rPr>
          <w:rFonts w:ascii="Calibri" w:hAnsi="Calibri" w:cs="Calibri"/>
          <w:b/>
          <w:bCs/>
          <w:sz w:val="72"/>
          <w:szCs w:val="72"/>
        </w:rPr>
      </w:pPr>
    </w:p>
    <w:p w14:paraId="7CB7ED3B" w14:textId="70EA39CA" w:rsidR="0055427F" w:rsidRPr="0055427F" w:rsidRDefault="0055427F" w:rsidP="0055427F">
      <w:pPr>
        <w:rPr>
          <w:rFonts w:ascii="Calibri" w:hAnsi="Calibri" w:cs="Calibri"/>
          <w:b/>
          <w:bCs/>
          <w:sz w:val="72"/>
          <w:szCs w:val="72"/>
        </w:rPr>
      </w:pPr>
      <w:r w:rsidRPr="0055427F">
        <w:rPr>
          <w:rFonts w:ascii="Calibri" w:hAnsi="Calibri" w:cs="Calibri"/>
          <w:b/>
          <w:bCs/>
          <w:sz w:val="72"/>
          <w:szCs w:val="72"/>
        </w:rPr>
        <w:t xml:space="preserve">Shropshire </w:t>
      </w:r>
      <w:r w:rsidR="00334A7C">
        <w:rPr>
          <w:rFonts w:ascii="Calibri" w:hAnsi="Calibri" w:cs="Calibri"/>
          <w:b/>
          <w:bCs/>
          <w:sz w:val="72"/>
          <w:szCs w:val="72"/>
        </w:rPr>
        <w:t>T</w:t>
      </w:r>
      <w:r w:rsidRPr="0055427F">
        <w:rPr>
          <w:rFonts w:ascii="Calibri" w:hAnsi="Calibri" w:cs="Calibri"/>
          <w:b/>
          <w:bCs/>
          <w:sz w:val="72"/>
          <w:szCs w:val="72"/>
        </w:rPr>
        <w:t xml:space="preserve">owns and Rural Housing </w:t>
      </w:r>
      <w:r w:rsidR="00334A7C">
        <w:rPr>
          <w:rFonts w:ascii="Calibri" w:hAnsi="Calibri" w:cs="Calibri"/>
          <w:b/>
          <w:bCs/>
          <w:sz w:val="72"/>
          <w:szCs w:val="72"/>
        </w:rPr>
        <w:t>–</w:t>
      </w:r>
      <w:r w:rsidRPr="0055427F">
        <w:rPr>
          <w:rFonts w:ascii="Calibri" w:hAnsi="Calibri" w:cs="Calibri"/>
          <w:b/>
          <w:bCs/>
          <w:sz w:val="72"/>
          <w:szCs w:val="72"/>
        </w:rPr>
        <w:t xml:space="preserve"> </w:t>
      </w:r>
      <w:bookmarkStart w:id="0" w:name="_GoBack"/>
      <w:r w:rsidR="005F0DA3">
        <w:rPr>
          <w:rFonts w:ascii="Calibri" w:hAnsi="Calibri" w:cs="Calibri"/>
          <w:b/>
          <w:bCs/>
          <w:sz w:val="72"/>
          <w:szCs w:val="72"/>
        </w:rPr>
        <w:t xml:space="preserve">Safeguarding </w:t>
      </w:r>
      <w:r w:rsidR="00EF3418">
        <w:rPr>
          <w:rFonts w:ascii="Calibri" w:hAnsi="Calibri" w:cs="Calibri"/>
          <w:b/>
          <w:bCs/>
          <w:sz w:val="72"/>
          <w:szCs w:val="72"/>
        </w:rPr>
        <w:t xml:space="preserve">- </w:t>
      </w:r>
      <w:r w:rsidRPr="0055427F">
        <w:rPr>
          <w:rFonts w:ascii="Calibri" w:hAnsi="Calibri" w:cs="Calibri"/>
          <w:b/>
          <w:bCs/>
          <w:sz w:val="72"/>
          <w:szCs w:val="72"/>
        </w:rPr>
        <w:t>Guidance for Suppliers</w:t>
      </w:r>
    </w:p>
    <w:bookmarkEnd w:id="0"/>
    <w:p w14:paraId="2E2A27E3" w14:textId="77777777" w:rsidR="0055427F" w:rsidRDefault="0055427F" w:rsidP="0055427F">
      <w:pPr>
        <w:rPr>
          <w:b/>
          <w:bCs/>
        </w:rPr>
      </w:pPr>
    </w:p>
    <w:p w14:paraId="19395E85" w14:textId="77777777" w:rsidR="005F0DA3" w:rsidRPr="005F0DA3" w:rsidRDefault="0055427F" w:rsidP="005F0DA3">
      <w:pPr>
        <w:rPr>
          <w:b/>
          <w:bCs/>
        </w:rPr>
      </w:pPr>
      <w:r>
        <w:rPr>
          <w:b/>
          <w:bCs/>
        </w:rPr>
        <w:br w:type="page"/>
      </w:r>
      <w:r w:rsidR="005F0DA3" w:rsidRPr="005F0DA3">
        <w:rPr>
          <w:b/>
          <w:bCs/>
        </w:rPr>
        <w:lastRenderedPageBreak/>
        <w:t>Safeguarding</w:t>
      </w:r>
    </w:p>
    <w:p w14:paraId="48EBD461" w14:textId="77777777" w:rsidR="005F0DA3" w:rsidRPr="005F0DA3" w:rsidRDefault="005F0DA3" w:rsidP="005F0DA3">
      <w:pPr>
        <w:rPr>
          <w:b/>
          <w:bCs/>
        </w:rPr>
      </w:pPr>
      <w:r w:rsidRPr="005F0DA3">
        <w:rPr>
          <w:b/>
          <w:bCs/>
        </w:rPr>
        <w:t>Procurement Terms &amp; Conditions – Guidance for Suppliers</w:t>
      </w:r>
    </w:p>
    <w:p w14:paraId="1A3F72B2" w14:textId="77777777" w:rsidR="005F0DA3" w:rsidRPr="005F0DA3" w:rsidRDefault="005F0DA3" w:rsidP="005F0DA3">
      <w:pPr>
        <w:rPr>
          <w:b/>
          <w:bCs/>
        </w:rPr>
      </w:pPr>
      <w:r w:rsidRPr="005F0DA3">
        <w:rPr>
          <w:b/>
          <w:bCs/>
        </w:rPr>
        <w:t>1. Purpose of this Guidance</w:t>
      </w:r>
    </w:p>
    <w:p w14:paraId="0F1FC7E5" w14:textId="7CF9B23B" w:rsidR="005F0DA3" w:rsidRPr="005F0DA3" w:rsidRDefault="005F0DA3" w:rsidP="005F0DA3">
      <w:r w:rsidRPr="005F0DA3">
        <w:t xml:space="preserve">This document sets out </w:t>
      </w:r>
      <w:r>
        <w:t>Shropshire Towns and Rural Housing’s (STAR Housing)</w:t>
      </w:r>
      <w:r w:rsidRPr="005F0DA3">
        <w:t xml:space="preserve"> expectations in relation to safeguarding and explains why safeguarding is a fundamental contractual requirement for all Suppliers working on our behalf.</w:t>
      </w:r>
    </w:p>
    <w:p w14:paraId="1D0CD4EA" w14:textId="4530E0AC" w:rsidR="005F0DA3" w:rsidRPr="005F0DA3" w:rsidRDefault="005F0DA3" w:rsidP="005F0DA3">
      <w:r w:rsidRPr="005F0DA3">
        <w:t xml:space="preserve">As a social housing provider, </w:t>
      </w:r>
      <w:r>
        <w:t xml:space="preserve">STAR Housing </w:t>
      </w:r>
      <w:r w:rsidRPr="005F0DA3">
        <w:t>works with a diverse range of residents, including children, vulnerable adults, and individuals with complex needs. Suppliers may come into direct or indirect contact with these individuals and must therefore always operate to the highest safeguarding standards.</w:t>
      </w:r>
    </w:p>
    <w:p w14:paraId="6072E838" w14:textId="77777777" w:rsidR="005F0DA3" w:rsidRPr="005F0DA3" w:rsidRDefault="005F0DA3" w:rsidP="005F0DA3">
      <w:pPr>
        <w:rPr>
          <w:b/>
          <w:bCs/>
        </w:rPr>
      </w:pPr>
      <w:r w:rsidRPr="005F0DA3">
        <w:rPr>
          <w:b/>
          <w:bCs/>
        </w:rPr>
        <w:t>2. Our Safeguarding Commitment</w:t>
      </w:r>
    </w:p>
    <w:p w14:paraId="33439505" w14:textId="1EEA9C80" w:rsidR="005F0DA3" w:rsidRPr="005F0DA3" w:rsidRDefault="005F0DA3" w:rsidP="005F0DA3">
      <w:r>
        <w:t xml:space="preserve">STAR Housing </w:t>
      </w:r>
      <w:r w:rsidRPr="005F0DA3">
        <w:t>is committed to:</w:t>
      </w:r>
    </w:p>
    <w:p w14:paraId="42B8B124" w14:textId="77777777" w:rsidR="005F0DA3" w:rsidRPr="005F0DA3" w:rsidRDefault="005F0DA3" w:rsidP="005F0DA3">
      <w:pPr>
        <w:numPr>
          <w:ilvl w:val="0"/>
          <w:numId w:val="13"/>
        </w:numPr>
      </w:pPr>
      <w:r w:rsidRPr="005F0DA3">
        <w:t>Protecting children and adults at risk from harm, abuse, neglect, or exploitation</w:t>
      </w:r>
    </w:p>
    <w:p w14:paraId="42708121" w14:textId="77777777" w:rsidR="005F0DA3" w:rsidRPr="005F0DA3" w:rsidRDefault="005F0DA3" w:rsidP="005F0DA3">
      <w:pPr>
        <w:numPr>
          <w:ilvl w:val="0"/>
          <w:numId w:val="13"/>
        </w:numPr>
      </w:pPr>
      <w:r w:rsidRPr="005F0DA3">
        <w:t>Creating safe environments within homes, schemes, estates, and communities</w:t>
      </w:r>
    </w:p>
    <w:p w14:paraId="71169AAA" w14:textId="77777777" w:rsidR="005F0DA3" w:rsidRPr="005F0DA3" w:rsidRDefault="005F0DA3" w:rsidP="005F0DA3">
      <w:pPr>
        <w:numPr>
          <w:ilvl w:val="0"/>
          <w:numId w:val="13"/>
        </w:numPr>
      </w:pPr>
      <w:r w:rsidRPr="005F0DA3">
        <w:t>Working only with Suppliers who share this commitment and can demonstrate appropriate safeguarding arrangements</w:t>
      </w:r>
    </w:p>
    <w:p w14:paraId="0B385722" w14:textId="77777777" w:rsidR="005F0DA3" w:rsidRPr="005F0DA3" w:rsidRDefault="005F0DA3" w:rsidP="005F0DA3">
      <w:r w:rsidRPr="005F0DA3">
        <w:t>Safeguarding is treated as a core condition of contract and not as an optional or ancillary requirement.</w:t>
      </w:r>
    </w:p>
    <w:p w14:paraId="66EBD149" w14:textId="77777777" w:rsidR="005F0DA3" w:rsidRPr="005F0DA3" w:rsidRDefault="005F0DA3" w:rsidP="005F0DA3">
      <w:pPr>
        <w:rPr>
          <w:b/>
          <w:bCs/>
        </w:rPr>
      </w:pPr>
      <w:r w:rsidRPr="005F0DA3">
        <w:rPr>
          <w:b/>
          <w:bCs/>
        </w:rPr>
        <w:t>3. Scope and Applicability</w:t>
      </w:r>
    </w:p>
    <w:p w14:paraId="7FC8D8EC" w14:textId="77777777" w:rsidR="005F0DA3" w:rsidRPr="005F0DA3" w:rsidRDefault="005F0DA3" w:rsidP="005F0DA3">
      <w:r w:rsidRPr="005F0DA3">
        <w:t>Safeguarding requirements apply to all Suppliers, including but not limited to:</w:t>
      </w:r>
    </w:p>
    <w:p w14:paraId="5736DC28" w14:textId="77777777" w:rsidR="005F0DA3" w:rsidRPr="005F0DA3" w:rsidRDefault="005F0DA3" w:rsidP="005F0DA3">
      <w:pPr>
        <w:numPr>
          <w:ilvl w:val="0"/>
          <w:numId w:val="14"/>
        </w:numPr>
      </w:pPr>
      <w:r w:rsidRPr="005F0DA3">
        <w:t>Contractors and subcontractors</w:t>
      </w:r>
    </w:p>
    <w:p w14:paraId="6EA8BF46" w14:textId="77777777" w:rsidR="005F0DA3" w:rsidRPr="005F0DA3" w:rsidRDefault="005F0DA3" w:rsidP="005F0DA3">
      <w:pPr>
        <w:numPr>
          <w:ilvl w:val="0"/>
          <w:numId w:val="14"/>
        </w:numPr>
      </w:pPr>
      <w:r w:rsidRPr="005F0DA3">
        <w:t>Consultants and professional advisers</w:t>
      </w:r>
    </w:p>
    <w:p w14:paraId="5ABECAFA" w14:textId="77777777" w:rsidR="005F0DA3" w:rsidRPr="005F0DA3" w:rsidRDefault="005F0DA3" w:rsidP="005F0DA3">
      <w:pPr>
        <w:numPr>
          <w:ilvl w:val="0"/>
          <w:numId w:val="14"/>
        </w:numPr>
      </w:pPr>
      <w:r w:rsidRPr="005F0DA3">
        <w:t>Goods and service providers</w:t>
      </w:r>
    </w:p>
    <w:p w14:paraId="647DBE0C" w14:textId="77777777" w:rsidR="005F0DA3" w:rsidRPr="005F0DA3" w:rsidRDefault="005F0DA3" w:rsidP="005F0DA3">
      <w:pPr>
        <w:numPr>
          <w:ilvl w:val="0"/>
          <w:numId w:val="14"/>
        </w:numPr>
      </w:pPr>
      <w:r w:rsidRPr="005F0DA3">
        <w:t>Agency workers and temporary staff</w:t>
      </w:r>
    </w:p>
    <w:p w14:paraId="46F0BB69" w14:textId="77777777" w:rsidR="005F0DA3" w:rsidRPr="005F0DA3" w:rsidRDefault="005F0DA3" w:rsidP="005F0DA3">
      <w:pPr>
        <w:rPr>
          <w:b/>
          <w:bCs/>
        </w:rPr>
      </w:pPr>
      <w:r w:rsidRPr="005F0DA3">
        <w:t>Requirements apply regardless of whether the Supplier’s activities involve direct resident contact, as safeguarding risks may still arise through access to homes, data, or communities.</w:t>
      </w:r>
    </w:p>
    <w:p w14:paraId="22D05FB9" w14:textId="77777777" w:rsidR="005F0DA3" w:rsidRPr="005F0DA3" w:rsidRDefault="005F0DA3" w:rsidP="005F0DA3">
      <w:pPr>
        <w:rPr>
          <w:b/>
          <w:bCs/>
        </w:rPr>
      </w:pPr>
      <w:r w:rsidRPr="005F0DA3">
        <w:rPr>
          <w:b/>
          <w:bCs/>
        </w:rPr>
        <w:t>4. Supplier Responsibilities</w:t>
      </w:r>
    </w:p>
    <w:p w14:paraId="2EF509C2" w14:textId="77777777" w:rsidR="005F0DA3" w:rsidRPr="005F0DA3" w:rsidRDefault="005F0DA3" w:rsidP="005F0DA3">
      <w:r w:rsidRPr="005F0DA3">
        <w:t>Suppliers are required to:</w:t>
      </w:r>
    </w:p>
    <w:p w14:paraId="0984313F" w14:textId="77777777" w:rsidR="005F0DA3" w:rsidRPr="005F0DA3" w:rsidRDefault="005F0DA3" w:rsidP="005F0DA3">
      <w:pPr>
        <w:numPr>
          <w:ilvl w:val="0"/>
          <w:numId w:val="15"/>
        </w:numPr>
      </w:pPr>
      <w:r w:rsidRPr="005F0DA3">
        <w:t>Comply with all relevant safeguarding legislation, statutory guidance, and best practice</w:t>
      </w:r>
    </w:p>
    <w:p w14:paraId="2F61E23A" w14:textId="77777777" w:rsidR="005F0DA3" w:rsidRPr="005F0DA3" w:rsidRDefault="005F0DA3" w:rsidP="005F0DA3">
      <w:pPr>
        <w:numPr>
          <w:ilvl w:val="0"/>
          <w:numId w:val="15"/>
        </w:numPr>
      </w:pPr>
      <w:r w:rsidRPr="005F0DA3">
        <w:t>Have appropriate safeguarding policies and procedures in place, proportionate to the nature of the contract</w:t>
      </w:r>
    </w:p>
    <w:p w14:paraId="5930A894" w14:textId="77777777" w:rsidR="005F0DA3" w:rsidRPr="005F0DA3" w:rsidRDefault="005F0DA3" w:rsidP="005F0DA3">
      <w:pPr>
        <w:numPr>
          <w:ilvl w:val="0"/>
          <w:numId w:val="15"/>
        </w:numPr>
      </w:pPr>
      <w:r w:rsidRPr="005F0DA3">
        <w:t>Ensure all staff, operatives, and subcontractors:</w:t>
      </w:r>
    </w:p>
    <w:p w14:paraId="3AC029FB" w14:textId="77777777" w:rsidR="005F0DA3" w:rsidRPr="005F0DA3" w:rsidRDefault="005F0DA3" w:rsidP="005F0DA3">
      <w:pPr>
        <w:numPr>
          <w:ilvl w:val="1"/>
          <w:numId w:val="15"/>
        </w:numPr>
      </w:pPr>
      <w:r w:rsidRPr="005F0DA3">
        <w:t>Understand safeguarding responsibilities</w:t>
      </w:r>
    </w:p>
    <w:p w14:paraId="79175174" w14:textId="77777777" w:rsidR="005F0DA3" w:rsidRPr="005F0DA3" w:rsidRDefault="005F0DA3" w:rsidP="005F0DA3">
      <w:pPr>
        <w:numPr>
          <w:ilvl w:val="1"/>
          <w:numId w:val="15"/>
        </w:numPr>
      </w:pPr>
      <w:r w:rsidRPr="005F0DA3">
        <w:t>Are trained to recognise and respond to safeguarding concerns</w:t>
      </w:r>
    </w:p>
    <w:p w14:paraId="0E9CD617" w14:textId="77777777" w:rsidR="005F0DA3" w:rsidRPr="005F0DA3" w:rsidRDefault="005F0DA3" w:rsidP="005F0DA3">
      <w:pPr>
        <w:numPr>
          <w:ilvl w:val="1"/>
          <w:numId w:val="15"/>
        </w:numPr>
      </w:pPr>
      <w:r w:rsidRPr="005F0DA3">
        <w:t>Act in a professional, respectful, and appropriate manner at all times</w:t>
      </w:r>
    </w:p>
    <w:p w14:paraId="31CDE914" w14:textId="77777777" w:rsidR="005F0DA3" w:rsidRPr="005F0DA3" w:rsidRDefault="005F0DA3" w:rsidP="005F0DA3">
      <w:r w:rsidRPr="005F0DA3">
        <w:t>Suppliers are fully responsible for the actions and behaviour of their workforce and supply chain.</w:t>
      </w:r>
    </w:p>
    <w:p w14:paraId="3DDCA476" w14:textId="77777777" w:rsidR="005F0DA3" w:rsidRPr="005F0DA3" w:rsidRDefault="005F0DA3" w:rsidP="005F0DA3">
      <w:pPr>
        <w:rPr>
          <w:b/>
          <w:bCs/>
        </w:rPr>
      </w:pPr>
      <w:r w:rsidRPr="005F0DA3">
        <w:rPr>
          <w:b/>
          <w:bCs/>
        </w:rPr>
        <w:t>5. Safer Working Practices</w:t>
      </w:r>
    </w:p>
    <w:p w14:paraId="549E04F4" w14:textId="77777777" w:rsidR="005F0DA3" w:rsidRPr="005F0DA3" w:rsidRDefault="005F0DA3" w:rsidP="005F0DA3">
      <w:r w:rsidRPr="005F0DA3">
        <w:t>Suppliers must ensure that:</w:t>
      </w:r>
    </w:p>
    <w:p w14:paraId="4D30E66C" w14:textId="77777777" w:rsidR="005F0DA3" w:rsidRPr="005F0DA3" w:rsidRDefault="005F0DA3" w:rsidP="005F0DA3">
      <w:pPr>
        <w:numPr>
          <w:ilvl w:val="0"/>
          <w:numId w:val="16"/>
        </w:numPr>
      </w:pPr>
      <w:r w:rsidRPr="005F0DA3">
        <w:t>Staff are identifiable (e.g. ID badges, uniforms where applicable)</w:t>
      </w:r>
    </w:p>
    <w:p w14:paraId="680498A5" w14:textId="77777777" w:rsidR="005F0DA3" w:rsidRPr="005F0DA3" w:rsidRDefault="005F0DA3" w:rsidP="005F0DA3">
      <w:pPr>
        <w:numPr>
          <w:ilvl w:val="0"/>
          <w:numId w:val="16"/>
        </w:numPr>
      </w:pPr>
      <w:r w:rsidRPr="005F0DA3">
        <w:t>Clear professional boundaries are maintained with residents at all times</w:t>
      </w:r>
    </w:p>
    <w:p w14:paraId="1360E2DD" w14:textId="77777777" w:rsidR="005F0DA3" w:rsidRPr="005F0DA3" w:rsidRDefault="005F0DA3" w:rsidP="005F0DA3">
      <w:pPr>
        <w:numPr>
          <w:ilvl w:val="0"/>
          <w:numId w:val="16"/>
        </w:numPr>
      </w:pPr>
      <w:r w:rsidRPr="005F0DA3">
        <w:t>Lone working risks are assessed and managed</w:t>
      </w:r>
    </w:p>
    <w:p w14:paraId="06EBE180" w14:textId="77777777" w:rsidR="005F0DA3" w:rsidRPr="005F0DA3" w:rsidRDefault="005F0DA3" w:rsidP="005F0DA3">
      <w:pPr>
        <w:numPr>
          <w:ilvl w:val="0"/>
          <w:numId w:val="16"/>
        </w:numPr>
      </w:pPr>
      <w:r w:rsidRPr="005F0DA3">
        <w:t>Access to homes is controlled and appointments are respected</w:t>
      </w:r>
    </w:p>
    <w:p w14:paraId="22369B3B" w14:textId="77777777" w:rsidR="005F0DA3" w:rsidRPr="005F0DA3" w:rsidRDefault="005F0DA3" w:rsidP="005F0DA3">
      <w:pPr>
        <w:numPr>
          <w:ilvl w:val="0"/>
          <w:numId w:val="16"/>
        </w:numPr>
      </w:pPr>
      <w:r w:rsidRPr="005F0DA3">
        <w:t>No staff member places themselves or others in a position of risk</w:t>
      </w:r>
    </w:p>
    <w:p w14:paraId="23EDF4F6" w14:textId="77777777" w:rsidR="005F0DA3" w:rsidRPr="005F0DA3" w:rsidRDefault="005F0DA3" w:rsidP="005F0DA3">
      <w:r w:rsidRPr="005F0DA3">
        <w:t>Suppliers must take particular care when working in occupied properties, supported housing schemes, or environments where vulnerable residents may be present.</w:t>
      </w:r>
    </w:p>
    <w:p w14:paraId="4897FC58" w14:textId="77777777" w:rsidR="005F0DA3" w:rsidRPr="005F0DA3" w:rsidRDefault="005F0DA3" w:rsidP="005F0DA3">
      <w:pPr>
        <w:rPr>
          <w:b/>
          <w:bCs/>
        </w:rPr>
      </w:pPr>
      <w:r w:rsidRPr="005F0DA3">
        <w:rPr>
          <w:b/>
          <w:bCs/>
        </w:rPr>
        <w:t>6. Disclosure, Vetting &amp; Training</w:t>
      </w:r>
    </w:p>
    <w:p w14:paraId="09B89E81" w14:textId="77777777" w:rsidR="005F0DA3" w:rsidRPr="005F0DA3" w:rsidRDefault="005F0DA3" w:rsidP="005F0DA3">
      <w:r w:rsidRPr="005F0DA3">
        <w:t>Where required by the nature of the work, Suppliers must ensure that:</w:t>
      </w:r>
    </w:p>
    <w:p w14:paraId="0AA568DF" w14:textId="77777777" w:rsidR="005F0DA3" w:rsidRPr="005F0DA3" w:rsidRDefault="005F0DA3" w:rsidP="005F0DA3">
      <w:pPr>
        <w:numPr>
          <w:ilvl w:val="0"/>
          <w:numId w:val="17"/>
        </w:numPr>
      </w:pPr>
      <w:r w:rsidRPr="005F0DA3">
        <w:t>Appropriate Disclosure and Barring Service (DBS) checks are in place and kept up to date</w:t>
      </w:r>
    </w:p>
    <w:p w14:paraId="06B4FAB9" w14:textId="77777777" w:rsidR="005F0DA3" w:rsidRPr="005F0DA3" w:rsidRDefault="005F0DA3" w:rsidP="005F0DA3">
      <w:pPr>
        <w:numPr>
          <w:ilvl w:val="0"/>
          <w:numId w:val="17"/>
        </w:numPr>
      </w:pPr>
      <w:r w:rsidRPr="005F0DA3">
        <w:t>Safeguarding training is provided at induction and refreshed periodically</w:t>
      </w:r>
    </w:p>
    <w:p w14:paraId="68033829" w14:textId="77777777" w:rsidR="005F0DA3" w:rsidRPr="005F0DA3" w:rsidRDefault="005F0DA3" w:rsidP="005F0DA3">
      <w:pPr>
        <w:numPr>
          <w:ilvl w:val="0"/>
          <w:numId w:val="17"/>
        </w:numPr>
      </w:pPr>
      <w:r w:rsidRPr="005F0DA3">
        <w:t>Evidence of checks and training can be provided on request</w:t>
      </w:r>
    </w:p>
    <w:p w14:paraId="5E8E7C7F" w14:textId="77777777" w:rsidR="005F0DA3" w:rsidRPr="005F0DA3" w:rsidRDefault="005F0DA3" w:rsidP="005F0DA3">
      <w:r w:rsidRPr="005F0DA3">
        <w:t>The level of vetting required will be proportionate to the role and risk profile of the contract.</w:t>
      </w:r>
    </w:p>
    <w:p w14:paraId="2683EB61" w14:textId="77777777" w:rsidR="005F0DA3" w:rsidRPr="005F0DA3" w:rsidRDefault="005F0DA3" w:rsidP="005F0DA3">
      <w:pPr>
        <w:rPr>
          <w:b/>
          <w:bCs/>
        </w:rPr>
      </w:pPr>
      <w:r w:rsidRPr="005F0DA3">
        <w:rPr>
          <w:b/>
          <w:bCs/>
        </w:rPr>
        <w:t>7. Reporting Safeguarding Concerns</w:t>
      </w:r>
    </w:p>
    <w:p w14:paraId="2DE9B378" w14:textId="77777777" w:rsidR="005F0DA3" w:rsidRPr="005F0DA3" w:rsidRDefault="005F0DA3" w:rsidP="005F0DA3">
      <w:r w:rsidRPr="005F0DA3">
        <w:t>Suppliers must:</w:t>
      </w:r>
    </w:p>
    <w:p w14:paraId="7996C427" w14:textId="7654EFF8" w:rsidR="005F0DA3" w:rsidRPr="005F0DA3" w:rsidRDefault="005F0DA3" w:rsidP="005F0DA3">
      <w:pPr>
        <w:numPr>
          <w:ilvl w:val="0"/>
          <w:numId w:val="18"/>
        </w:numPr>
      </w:pPr>
      <w:r w:rsidRPr="005F0DA3">
        <w:t xml:space="preserve">Immediately report any safeguarding concerns, disclosures, or incidents to </w:t>
      </w:r>
      <w:r>
        <w:t xml:space="preserve">STAR Housing </w:t>
      </w:r>
      <w:r w:rsidRPr="005F0DA3">
        <w:t>in line with agreed procedures</w:t>
      </w:r>
      <w:r>
        <w:t xml:space="preserve"> (discussed at contract mobilisation stage)</w:t>
      </w:r>
    </w:p>
    <w:p w14:paraId="27F009E6" w14:textId="77777777" w:rsidR="005F0DA3" w:rsidRPr="005F0DA3" w:rsidRDefault="005F0DA3" w:rsidP="005F0DA3">
      <w:pPr>
        <w:numPr>
          <w:ilvl w:val="0"/>
          <w:numId w:val="18"/>
        </w:numPr>
      </w:pPr>
      <w:r w:rsidRPr="005F0DA3">
        <w:t>Not investigate safeguarding concerns independently unless instructed to do so</w:t>
      </w:r>
    </w:p>
    <w:p w14:paraId="3EB88E9A" w14:textId="6B4EBFF6" w:rsidR="005F0DA3" w:rsidRPr="005F0DA3" w:rsidRDefault="005F0DA3" w:rsidP="005F0DA3">
      <w:pPr>
        <w:numPr>
          <w:ilvl w:val="0"/>
          <w:numId w:val="18"/>
        </w:numPr>
      </w:pPr>
      <w:r w:rsidRPr="005F0DA3">
        <w:t xml:space="preserve">Co-operate fully with </w:t>
      </w:r>
      <w:r>
        <w:t>STAR Housing</w:t>
      </w:r>
      <w:r w:rsidRPr="005F0DA3">
        <w:t>, statutory agencies, and regulators where required</w:t>
      </w:r>
    </w:p>
    <w:p w14:paraId="49437FD0" w14:textId="77777777" w:rsidR="005F0DA3" w:rsidRPr="005F0DA3" w:rsidRDefault="005F0DA3" w:rsidP="005F0DA3">
      <w:r w:rsidRPr="005F0DA3">
        <w:t>Failure to report a safeguarding concern will be treated as a serious contractual breach.</w:t>
      </w:r>
    </w:p>
    <w:p w14:paraId="1F857E7D" w14:textId="77777777" w:rsidR="005F0DA3" w:rsidRPr="005F0DA3" w:rsidRDefault="005F0DA3" w:rsidP="005F0DA3">
      <w:pPr>
        <w:rPr>
          <w:b/>
          <w:bCs/>
        </w:rPr>
      </w:pPr>
      <w:r w:rsidRPr="005F0DA3">
        <w:rPr>
          <w:b/>
          <w:bCs/>
        </w:rPr>
        <w:t>8. Monitoring, Assurance &amp; Audit</w:t>
      </w:r>
    </w:p>
    <w:p w14:paraId="5F523BC7" w14:textId="657DA3E6" w:rsidR="005F0DA3" w:rsidRPr="005F0DA3" w:rsidRDefault="005F0DA3" w:rsidP="005F0DA3">
      <w:r>
        <w:t xml:space="preserve">STAR Housing </w:t>
      </w:r>
      <w:r w:rsidRPr="005F0DA3">
        <w:t>reserves the right to:</w:t>
      </w:r>
    </w:p>
    <w:p w14:paraId="70CC2E3C" w14:textId="77777777" w:rsidR="005F0DA3" w:rsidRPr="005F0DA3" w:rsidRDefault="005F0DA3" w:rsidP="005F0DA3">
      <w:pPr>
        <w:numPr>
          <w:ilvl w:val="0"/>
          <w:numId w:val="19"/>
        </w:numPr>
      </w:pPr>
      <w:r w:rsidRPr="005F0DA3">
        <w:t>Request safeguarding policies, procedures, and training records</w:t>
      </w:r>
    </w:p>
    <w:p w14:paraId="6416B80B" w14:textId="77777777" w:rsidR="005F0DA3" w:rsidRPr="005F0DA3" w:rsidRDefault="005F0DA3" w:rsidP="005F0DA3">
      <w:pPr>
        <w:numPr>
          <w:ilvl w:val="0"/>
          <w:numId w:val="19"/>
        </w:numPr>
      </w:pPr>
      <w:r w:rsidRPr="005F0DA3">
        <w:t>Monitor compliance through audits, inspections, or contract reviews</w:t>
      </w:r>
    </w:p>
    <w:p w14:paraId="569F6EC3" w14:textId="77777777" w:rsidR="005F0DA3" w:rsidRPr="005F0DA3" w:rsidRDefault="005F0DA3" w:rsidP="005F0DA3">
      <w:pPr>
        <w:numPr>
          <w:ilvl w:val="0"/>
          <w:numId w:val="19"/>
        </w:numPr>
      </w:pPr>
      <w:r w:rsidRPr="005F0DA3">
        <w:t>Require remedial action where safeguarding standards are not met</w:t>
      </w:r>
    </w:p>
    <w:p w14:paraId="3D6916D7" w14:textId="77777777" w:rsidR="005F0DA3" w:rsidRPr="005F0DA3" w:rsidRDefault="005F0DA3" w:rsidP="005F0DA3">
      <w:r w:rsidRPr="005F0DA3">
        <w:t>Continued non-compliance may result in suspension of works, contract termination, or exclusion from future procurement opportunities.</w:t>
      </w:r>
    </w:p>
    <w:p w14:paraId="628300D3" w14:textId="77777777" w:rsidR="005F0DA3" w:rsidRPr="005F0DA3" w:rsidRDefault="005F0DA3" w:rsidP="005F0DA3">
      <w:pPr>
        <w:rPr>
          <w:b/>
          <w:bCs/>
        </w:rPr>
      </w:pPr>
      <w:r w:rsidRPr="005F0DA3">
        <w:rPr>
          <w:b/>
          <w:bCs/>
        </w:rPr>
        <w:t>9. Zero Tolerance</w:t>
      </w:r>
    </w:p>
    <w:p w14:paraId="56C38D52" w14:textId="5EDCCD8E" w:rsidR="005F0DA3" w:rsidRPr="005F0DA3" w:rsidRDefault="005F0DA3" w:rsidP="005F0DA3">
      <w:r>
        <w:t xml:space="preserve">STAR Housing </w:t>
      </w:r>
      <w:r w:rsidRPr="005F0DA3">
        <w:t>operates a zero-tolerance approach to:</w:t>
      </w:r>
    </w:p>
    <w:p w14:paraId="2711677F" w14:textId="77777777" w:rsidR="005F0DA3" w:rsidRPr="005F0DA3" w:rsidRDefault="005F0DA3" w:rsidP="005F0DA3">
      <w:pPr>
        <w:numPr>
          <w:ilvl w:val="0"/>
          <w:numId w:val="20"/>
        </w:numPr>
      </w:pPr>
      <w:r w:rsidRPr="005F0DA3">
        <w:t>Abuse, neglect, exploitation, or inappropriate behaviour</w:t>
      </w:r>
    </w:p>
    <w:p w14:paraId="61BC2B68" w14:textId="77777777" w:rsidR="005F0DA3" w:rsidRPr="005F0DA3" w:rsidRDefault="005F0DA3" w:rsidP="005F0DA3">
      <w:pPr>
        <w:numPr>
          <w:ilvl w:val="0"/>
          <w:numId w:val="20"/>
        </w:numPr>
      </w:pPr>
      <w:r w:rsidRPr="005F0DA3">
        <w:t>Failure to follow safeguarding procedures</w:t>
      </w:r>
    </w:p>
    <w:p w14:paraId="0ADA1E6F" w14:textId="77777777" w:rsidR="005F0DA3" w:rsidRPr="005F0DA3" w:rsidRDefault="005F0DA3" w:rsidP="005F0DA3">
      <w:pPr>
        <w:numPr>
          <w:ilvl w:val="0"/>
          <w:numId w:val="20"/>
        </w:numPr>
      </w:pPr>
      <w:r w:rsidRPr="005F0DA3">
        <w:t>Actions that place residents, staff, or communities at risk</w:t>
      </w:r>
    </w:p>
    <w:p w14:paraId="6CCE4025" w14:textId="77777777" w:rsidR="005F0DA3" w:rsidRPr="005F0DA3" w:rsidRDefault="005F0DA3" w:rsidP="005F0DA3">
      <w:r w:rsidRPr="005F0DA3">
        <w:t>Safeguarding performance forms part of Supplier selection, evaluation, and ongoing contract management.</w:t>
      </w:r>
    </w:p>
    <w:p w14:paraId="20CED77E" w14:textId="77777777" w:rsidR="005F0DA3" w:rsidRPr="005F0DA3" w:rsidRDefault="005F0DA3" w:rsidP="005F0DA3">
      <w:pPr>
        <w:rPr>
          <w:b/>
          <w:bCs/>
        </w:rPr>
      </w:pPr>
      <w:r w:rsidRPr="005F0DA3">
        <w:rPr>
          <w:b/>
          <w:bCs/>
        </w:rPr>
        <w:t>10. Continuous Improvement</w:t>
      </w:r>
    </w:p>
    <w:p w14:paraId="3A2DBA5D" w14:textId="77777777" w:rsidR="005F0DA3" w:rsidRPr="005F0DA3" w:rsidRDefault="005F0DA3" w:rsidP="005F0DA3">
      <w:r w:rsidRPr="005F0DA3">
        <w:t>Suppliers are expected to:</w:t>
      </w:r>
    </w:p>
    <w:p w14:paraId="07536777" w14:textId="77777777" w:rsidR="005F0DA3" w:rsidRPr="005F0DA3" w:rsidRDefault="005F0DA3" w:rsidP="005F0DA3">
      <w:pPr>
        <w:numPr>
          <w:ilvl w:val="0"/>
          <w:numId w:val="21"/>
        </w:numPr>
      </w:pPr>
      <w:r w:rsidRPr="005F0DA3">
        <w:t>Promote a positive safeguarding culture</w:t>
      </w:r>
    </w:p>
    <w:p w14:paraId="25B5065E" w14:textId="77777777" w:rsidR="005F0DA3" w:rsidRPr="005F0DA3" w:rsidRDefault="005F0DA3" w:rsidP="005F0DA3">
      <w:pPr>
        <w:numPr>
          <w:ilvl w:val="0"/>
          <w:numId w:val="21"/>
        </w:numPr>
      </w:pPr>
      <w:r w:rsidRPr="005F0DA3">
        <w:t>Encourage openness and early reporting</w:t>
      </w:r>
    </w:p>
    <w:p w14:paraId="2CC1F83A" w14:textId="77777777" w:rsidR="005F0DA3" w:rsidRPr="005F0DA3" w:rsidRDefault="005F0DA3" w:rsidP="005F0DA3">
      <w:pPr>
        <w:numPr>
          <w:ilvl w:val="0"/>
          <w:numId w:val="21"/>
        </w:numPr>
      </w:pPr>
      <w:r w:rsidRPr="005F0DA3">
        <w:t>Learn from incidents and near misses</w:t>
      </w:r>
    </w:p>
    <w:p w14:paraId="285C85C4" w14:textId="77777777" w:rsidR="005F0DA3" w:rsidRPr="005F0DA3" w:rsidRDefault="005F0DA3" w:rsidP="005F0DA3">
      <w:pPr>
        <w:numPr>
          <w:ilvl w:val="0"/>
          <w:numId w:val="21"/>
        </w:numPr>
      </w:pPr>
      <w:r w:rsidRPr="005F0DA3">
        <w:t>Continuously review and improve safeguarding arrangements</w:t>
      </w:r>
    </w:p>
    <w:p w14:paraId="6305D466" w14:textId="008468A1" w:rsidR="0055427F" w:rsidRDefault="0055427F">
      <w:pPr>
        <w:rPr>
          <w:b/>
          <w:bCs/>
        </w:rPr>
      </w:pPr>
    </w:p>
    <w:sectPr w:rsidR="0055427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2DDDC" w14:textId="77777777" w:rsidR="00DE1DB4" w:rsidRDefault="00DE1DB4" w:rsidP="0055427F">
      <w:pPr>
        <w:spacing w:after="0" w:line="240" w:lineRule="auto"/>
      </w:pPr>
      <w:r>
        <w:separator/>
      </w:r>
    </w:p>
  </w:endnote>
  <w:endnote w:type="continuationSeparator" w:id="0">
    <w:p w14:paraId="6187EE6E" w14:textId="77777777" w:rsidR="00DE1DB4" w:rsidRDefault="00DE1DB4" w:rsidP="0055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111808"/>
      <w:docPartObj>
        <w:docPartGallery w:val="Page Numbers (Bottom of Page)"/>
        <w:docPartUnique/>
      </w:docPartObj>
    </w:sdtPr>
    <w:sdtEndPr/>
    <w:sdtContent>
      <w:sdt>
        <w:sdtPr>
          <w:id w:val="-1769616900"/>
          <w:docPartObj>
            <w:docPartGallery w:val="Page Numbers (Top of Page)"/>
            <w:docPartUnique/>
          </w:docPartObj>
        </w:sdtPr>
        <w:sdtEndPr/>
        <w:sdtContent>
          <w:p w14:paraId="54934B5A" w14:textId="1FE9583C" w:rsidR="0055427F" w:rsidRDefault="0055427F">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AE7A38" w14:textId="77777777" w:rsidR="0055427F" w:rsidRDefault="00554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1E8AD" w14:textId="77777777" w:rsidR="00DE1DB4" w:rsidRDefault="00DE1DB4" w:rsidP="0055427F">
      <w:pPr>
        <w:spacing w:after="0" w:line="240" w:lineRule="auto"/>
      </w:pPr>
      <w:r>
        <w:separator/>
      </w:r>
    </w:p>
  </w:footnote>
  <w:footnote w:type="continuationSeparator" w:id="0">
    <w:p w14:paraId="487B3E2F" w14:textId="77777777" w:rsidR="00DE1DB4" w:rsidRDefault="00DE1DB4" w:rsidP="00554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F3D5" w14:textId="42725B45" w:rsidR="0055427F" w:rsidRDefault="0055427F">
    <w:pPr>
      <w:pStyle w:val="Header"/>
    </w:pPr>
    <w:r>
      <w:rPr>
        <w:noProof/>
      </w:rPr>
      <w:drawing>
        <wp:anchor distT="0" distB="0" distL="114300" distR="114300" simplePos="0" relativeHeight="251658240" behindDoc="1" locked="0" layoutInCell="1" allowOverlap="1" wp14:anchorId="1BEED666" wp14:editId="1ACC0D82">
          <wp:simplePos x="0" y="0"/>
          <wp:positionH relativeFrom="column">
            <wp:posOffset>4320540</wp:posOffset>
          </wp:positionH>
          <wp:positionV relativeFrom="paragraph">
            <wp:posOffset>-251460</wp:posOffset>
          </wp:positionV>
          <wp:extent cx="1211580" cy="640080"/>
          <wp:effectExtent l="0" t="0" r="7620" b="7620"/>
          <wp:wrapTight wrapText="bothSides">
            <wp:wrapPolygon edited="0">
              <wp:start x="0" y="0"/>
              <wp:lineTo x="0" y="21214"/>
              <wp:lineTo x="21396" y="21214"/>
              <wp:lineTo x="21396" y="0"/>
              <wp:lineTo x="0" y="0"/>
            </wp:wrapPolygon>
          </wp:wrapTight>
          <wp:docPr id="191057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6400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BBB"/>
    <w:multiLevelType w:val="multilevel"/>
    <w:tmpl w:val="307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0B71"/>
    <w:multiLevelType w:val="multilevel"/>
    <w:tmpl w:val="4F6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40DB6"/>
    <w:multiLevelType w:val="multilevel"/>
    <w:tmpl w:val="7FC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97317"/>
    <w:multiLevelType w:val="multilevel"/>
    <w:tmpl w:val="330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E1595"/>
    <w:multiLevelType w:val="multilevel"/>
    <w:tmpl w:val="52A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E4784"/>
    <w:multiLevelType w:val="multilevel"/>
    <w:tmpl w:val="AE7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E401A"/>
    <w:multiLevelType w:val="multilevel"/>
    <w:tmpl w:val="DFF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204FD"/>
    <w:multiLevelType w:val="multilevel"/>
    <w:tmpl w:val="00F4D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A3C94"/>
    <w:multiLevelType w:val="multilevel"/>
    <w:tmpl w:val="956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21762"/>
    <w:multiLevelType w:val="multilevel"/>
    <w:tmpl w:val="6B46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2461B"/>
    <w:multiLevelType w:val="multilevel"/>
    <w:tmpl w:val="6B1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24F17"/>
    <w:multiLevelType w:val="multilevel"/>
    <w:tmpl w:val="B8E0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66583"/>
    <w:multiLevelType w:val="multilevel"/>
    <w:tmpl w:val="3E5A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27D26"/>
    <w:multiLevelType w:val="multilevel"/>
    <w:tmpl w:val="C46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C45AE"/>
    <w:multiLevelType w:val="multilevel"/>
    <w:tmpl w:val="A992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A15A0"/>
    <w:multiLevelType w:val="multilevel"/>
    <w:tmpl w:val="C528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93B5D"/>
    <w:multiLevelType w:val="multilevel"/>
    <w:tmpl w:val="502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47071"/>
    <w:multiLevelType w:val="multilevel"/>
    <w:tmpl w:val="F24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522D0"/>
    <w:multiLevelType w:val="multilevel"/>
    <w:tmpl w:val="A23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50049"/>
    <w:multiLevelType w:val="multilevel"/>
    <w:tmpl w:val="20F8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23A43"/>
    <w:multiLevelType w:val="multilevel"/>
    <w:tmpl w:val="D0C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11"/>
  </w:num>
  <w:num w:numId="5">
    <w:abstractNumId w:val="14"/>
  </w:num>
  <w:num w:numId="6">
    <w:abstractNumId w:val="16"/>
  </w:num>
  <w:num w:numId="7">
    <w:abstractNumId w:val="20"/>
  </w:num>
  <w:num w:numId="8">
    <w:abstractNumId w:val="0"/>
  </w:num>
  <w:num w:numId="9">
    <w:abstractNumId w:val="10"/>
  </w:num>
  <w:num w:numId="10">
    <w:abstractNumId w:val="17"/>
  </w:num>
  <w:num w:numId="11">
    <w:abstractNumId w:val="4"/>
  </w:num>
  <w:num w:numId="12">
    <w:abstractNumId w:val="13"/>
  </w:num>
  <w:num w:numId="13">
    <w:abstractNumId w:val="8"/>
  </w:num>
  <w:num w:numId="14">
    <w:abstractNumId w:val="1"/>
  </w:num>
  <w:num w:numId="15">
    <w:abstractNumId w:val="15"/>
  </w:num>
  <w:num w:numId="16">
    <w:abstractNumId w:val="12"/>
  </w:num>
  <w:num w:numId="17">
    <w:abstractNumId w:val="9"/>
  </w:num>
  <w:num w:numId="18">
    <w:abstractNumId w:val="19"/>
  </w:num>
  <w:num w:numId="19">
    <w:abstractNumId w:val="3"/>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7F"/>
    <w:rsid w:val="00160289"/>
    <w:rsid w:val="001E1A2B"/>
    <w:rsid w:val="00334A7C"/>
    <w:rsid w:val="00391A56"/>
    <w:rsid w:val="003949EA"/>
    <w:rsid w:val="0043393B"/>
    <w:rsid w:val="0055427F"/>
    <w:rsid w:val="005C51C5"/>
    <w:rsid w:val="005F0DA3"/>
    <w:rsid w:val="006F43BF"/>
    <w:rsid w:val="007B49B1"/>
    <w:rsid w:val="007C4C4F"/>
    <w:rsid w:val="008D3795"/>
    <w:rsid w:val="0094718B"/>
    <w:rsid w:val="00B607C5"/>
    <w:rsid w:val="00C43BB5"/>
    <w:rsid w:val="00D0688D"/>
    <w:rsid w:val="00DE1DB4"/>
    <w:rsid w:val="00E26423"/>
    <w:rsid w:val="00E5400E"/>
    <w:rsid w:val="00EF3418"/>
    <w:rsid w:val="00F9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68C40"/>
  <w15:chartTrackingRefBased/>
  <w15:docId w15:val="{4FE8E9FB-4593-4BAF-AC63-707DE727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7F"/>
    <w:rPr>
      <w:rFonts w:eastAsiaTheme="majorEastAsia" w:cstheme="majorBidi"/>
      <w:color w:val="272727" w:themeColor="text1" w:themeTint="D8"/>
    </w:rPr>
  </w:style>
  <w:style w:type="paragraph" w:styleId="Title">
    <w:name w:val="Title"/>
    <w:basedOn w:val="Normal"/>
    <w:next w:val="Normal"/>
    <w:link w:val="TitleChar"/>
    <w:uiPriority w:val="10"/>
    <w:qFormat/>
    <w:rsid w:val="0055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7F"/>
    <w:pPr>
      <w:spacing w:before="160"/>
      <w:jc w:val="center"/>
    </w:pPr>
    <w:rPr>
      <w:i/>
      <w:iCs/>
      <w:color w:val="404040" w:themeColor="text1" w:themeTint="BF"/>
    </w:rPr>
  </w:style>
  <w:style w:type="character" w:customStyle="1" w:styleId="QuoteChar">
    <w:name w:val="Quote Char"/>
    <w:basedOn w:val="DefaultParagraphFont"/>
    <w:link w:val="Quote"/>
    <w:uiPriority w:val="29"/>
    <w:rsid w:val="0055427F"/>
    <w:rPr>
      <w:i/>
      <w:iCs/>
      <w:color w:val="404040" w:themeColor="text1" w:themeTint="BF"/>
    </w:rPr>
  </w:style>
  <w:style w:type="paragraph" w:styleId="ListParagraph">
    <w:name w:val="List Paragraph"/>
    <w:basedOn w:val="Normal"/>
    <w:uiPriority w:val="34"/>
    <w:qFormat/>
    <w:rsid w:val="0055427F"/>
    <w:pPr>
      <w:ind w:left="720"/>
      <w:contextualSpacing/>
    </w:pPr>
  </w:style>
  <w:style w:type="character" w:styleId="IntenseEmphasis">
    <w:name w:val="Intense Emphasis"/>
    <w:basedOn w:val="DefaultParagraphFont"/>
    <w:uiPriority w:val="21"/>
    <w:qFormat/>
    <w:rsid w:val="0055427F"/>
    <w:rPr>
      <w:i/>
      <w:iCs/>
      <w:color w:val="0F4761" w:themeColor="accent1" w:themeShade="BF"/>
    </w:rPr>
  </w:style>
  <w:style w:type="paragraph" w:styleId="IntenseQuote">
    <w:name w:val="Intense Quote"/>
    <w:basedOn w:val="Normal"/>
    <w:next w:val="Normal"/>
    <w:link w:val="IntenseQuoteChar"/>
    <w:uiPriority w:val="30"/>
    <w:qFormat/>
    <w:rsid w:val="0055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7F"/>
    <w:rPr>
      <w:i/>
      <w:iCs/>
      <w:color w:val="0F4761" w:themeColor="accent1" w:themeShade="BF"/>
    </w:rPr>
  </w:style>
  <w:style w:type="character" w:styleId="IntenseReference">
    <w:name w:val="Intense Reference"/>
    <w:basedOn w:val="DefaultParagraphFont"/>
    <w:uiPriority w:val="32"/>
    <w:qFormat/>
    <w:rsid w:val="0055427F"/>
    <w:rPr>
      <w:b/>
      <w:bCs/>
      <w:smallCaps/>
      <w:color w:val="0F4761" w:themeColor="accent1" w:themeShade="BF"/>
      <w:spacing w:val="5"/>
    </w:rPr>
  </w:style>
  <w:style w:type="paragraph" w:styleId="Header">
    <w:name w:val="header"/>
    <w:basedOn w:val="Normal"/>
    <w:link w:val="HeaderChar"/>
    <w:uiPriority w:val="99"/>
    <w:unhideWhenUsed/>
    <w:rsid w:val="00554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7F"/>
  </w:style>
  <w:style w:type="paragraph" w:styleId="Footer">
    <w:name w:val="footer"/>
    <w:basedOn w:val="Normal"/>
    <w:link w:val="FooterChar"/>
    <w:uiPriority w:val="99"/>
    <w:unhideWhenUsed/>
    <w:rsid w:val="00554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7F"/>
  </w:style>
  <w:style w:type="character" w:styleId="Strong">
    <w:name w:val="Strong"/>
    <w:basedOn w:val="DefaultParagraphFont"/>
    <w:uiPriority w:val="22"/>
    <w:qFormat/>
    <w:rsid w:val="006F4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A14116645C645A8C280EC56DEE134" ma:contentTypeVersion="13" ma:contentTypeDescription="Create a new document." ma:contentTypeScope="" ma:versionID="c4a0c3a91c4b28f60ec4e192b60314f4">
  <xsd:schema xmlns:xsd="http://www.w3.org/2001/XMLSchema" xmlns:xs="http://www.w3.org/2001/XMLSchema" xmlns:p="http://schemas.microsoft.com/office/2006/metadata/properties" xmlns:ns2="474d7909-07b7-41dc-bb13-1b55f5136c91" xmlns:ns3="fe726130-445a-4821-8ab7-229532cd0f2f" targetNamespace="http://schemas.microsoft.com/office/2006/metadata/properties" ma:root="true" ma:fieldsID="d7b2020011836fcff816405c1831dedf" ns2:_="" ns3:_="">
    <xsd:import namespace="474d7909-07b7-41dc-bb13-1b55f5136c91"/>
    <xsd:import namespace="fe726130-445a-4821-8ab7-229532cd0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d7909-07b7-41dc-bb13-1b55f5136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d053d7-5efd-4a40-9693-a517d4392f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26130-445a-4821-8ab7-229532cd0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1b04c1-895e-4cb9-9fe6-896a65377a80}" ma:internalName="TaxCatchAll" ma:showField="CatchAllData" ma:web="fe726130-445a-4821-8ab7-229532cd0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4d7909-07b7-41dc-bb13-1b55f5136c91">
      <Terms xmlns="http://schemas.microsoft.com/office/infopath/2007/PartnerControls"/>
    </lcf76f155ced4ddcb4097134ff3c332f>
    <TaxCatchAll xmlns="fe726130-445a-4821-8ab7-229532cd0f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25F6D-AD7F-4E88-9FDA-244B28F6EE77}"/>
</file>

<file path=customXml/itemProps2.xml><?xml version="1.0" encoding="utf-8"?>
<ds:datastoreItem xmlns:ds="http://schemas.openxmlformats.org/officeDocument/2006/customXml" ds:itemID="{72114123-663D-4479-AF79-FF14DEC706EF}">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customXml/itemProps3.xml><?xml version="1.0" encoding="utf-8"?>
<ds:datastoreItem xmlns:ds="http://schemas.openxmlformats.org/officeDocument/2006/customXml" ds:itemID="{7600D867-CF96-4A94-9600-FFC8E824DB7B}">
  <ds:schemaRefs>
    <ds:schemaRef ds:uri="http://schemas.microsoft.com/sharepoint/v3/contenttype/forms"/>
  </ds:schemaRefs>
</ds:datastoreItem>
</file>

<file path=customXml/itemProps4.xml><?xml version="1.0" encoding="utf-8"?>
<ds:datastoreItem xmlns:ds="http://schemas.openxmlformats.org/officeDocument/2006/customXml" ds:itemID="{00478D85-1FEC-46FC-9453-9817F28883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Stephens</dc:creator>
  <cp:keywords/>
  <dc:description/>
  <cp:lastModifiedBy>Emily Parry</cp:lastModifiedBy>
  <cp:revision>2</cp:revision>
  <dcterms:created xsi:type="dcterms:W3CDTF">2026-01-22T09:33:00Z</dcterms:created>
  <dcterms:modified xsi:type="dcterms:W3CDTF">2026-01-22T09:33:00Z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0x010100AC8A14116645C645A8C280EC56DEE134</vt:lpwstr>
  </property>
  <property fmtid="{D5CDD505-2E9C-101B-9397-08002B2CF9AE}" pid="3" name="_dlc_DocIdItemGuid">
    <vt:lpwstr>8a2fcd16-8329-4c5b-8055-30f864055350</vt:lpwstr>
  </property>
  <property fmtid="{D5CDD505-2E9C-101B-9397-08002B2CF9AE}" pid="4" name="MediaServiceImageTags">
    <vt:lpwstr/>
  </property>
</Properties>
</file>