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9EE15" w14:textId="0F3D843D" w:rsidR="0055427F" w:rsidRDefault="0055427F" w:rsidP="0055427F">
      <w:pPr>
        <w:rPr>
          <w:b/>
          <w:bCs/>
        </w:rPr>
      </w:pPr>
    </w:p>
    <w:p w14:paraId="546148FB" w14:textId="77777777" w:rsidR="0055427F" w:rsidRDefault="0055427F" w:rsidP="0055427F">
      <w:pPr>
        <w:rPr>
          <w:b/>
          <w:bCs/>
        </w:rPr>
      </w:pPr>
    </w:p>
    <w:p w14:paraId="43320AE3" w14:textId="77777777" w:rsidR="0055427F" w:rsidRDefault="0055427F" w:rsidP="0055427F">
      <w:pPr>
        <w:rPr>
          <w:b/>
          <w:bCs/>
        </w:rPr>
      </w:pPr>
    </w:p>
    <w:p w14:paraId="1807153C" w14:textId="77777777" w:rsidR="0055427F" w:rsidRDefault="0055427F" w:rsidP="0055427F">
      <w:pPr>
        <w:rPr>
          <w:rFonts w:ascii="Calibri" w:hAnsi="Calibri" w:cs="Calibri"/>
          <w:b/>
          <w:bCs/>
          <w:sz w:val="72"/>
          <w:szCs w:val="72"/>
        </w:rPr>
      </w:pPr>
    </w:p>
    <w:p w14:paraId="6FCA5C85" w14:textId="6E61318F" w:rsidR="0055427F" w:rsidRDefault="0055427F" w:rsidP="0055427F">
      <w:pPr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noProof/>
          <w:color w:val="000000" w:themeColor="text1"/>
          <w:sz w:val="56"/>
          <w:szCs w:val="56"/>
        </w:rPr>
        <w:drawing>
          <wp:inline distT="0" distB="0" distL="0" distR="0" wp14:anchorId="21B720C7" wp14:editId="09714671">
            <wp:extent cx="1590070" cy="838200"/>
            <wp:effectExtent l="0" t="0" r="0" b="0"/>
            <wp:docPr id="914957620" name="Picture 1" descr="A logo with a tree and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57620" name="Picture 1" descr="A logo with a tree and a hou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809" cy="839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29DE3D" w14:textId="77777777" w:rsidR="00334A7C" w:rsidRDefault="00334A7C" w:rsidP="0055427F">
      <w:pPr>
        <w:rPr>
          <w:rFonts w:ascii="Calibri" w:hAnsi="Calibri" w:cs="Calibri"/>
          <w:b/>
          <w:bCs/>
          <w:sz w:val="72"/>
          <w:szCs w:val="72"/>
        </w:rPr>
      </w:pPr>
    </w:p>
    <w:p w14:paraId="1D9784C5" w14:textId="77777777" w:rsidR="00334A7C" w:rsidRDefault="00334A7C" w:rsidP="0055427F">
      <w:pPr>
        <w:rPr>
          <w:rFonts w:ascii="Calibri" w:hAnsi="Calibri" w:cs="Calibri"/>
          <w:b/>
          <w:bCs/>
          <w:sz w:val="72"/>
          <w:szCs w:val="72"/>
        </w:rPr>
      </w:pPr>
    </w:p>
    <w:p w14:paraId="7CB7ED3B" w14:textId="0136C23E" w:rsidR="0055427F" w:rsidRPr="0055427F" w:rsidRDefault="0055427F" w:rsidP="0055427F">
      <w:pPr>
        <w:rPr>
          <w:rFonts w:ascii="Calibri" w:hAnsi="Calibri" w:cs="Calibri"/>
          <w:b/>
          <w:bCs/>
          <w:sz w:val="72"/>
          <w:szCs w:val="72"/>
        </w:rPr>
      </w:pPr>
      <w:r w:rsidRPr="0055427F">
        <w:rPr>
          <w:rFonts w:ascii="Calibri" w:hAnsi="Calibri" w:cs="Calibri"/>
          <w:b/>
          <w:bCs/>
          <w:sz w:val="72"/>
          <w:szCs w:val="72"/>
        </w:rPr>
        <w:t xml:space="preserve">Shropshire </w:t>
      </w:r>
      <w:r w:rsidR="00334A7C">
        <w:rPr>
          <w:rFonts w:ascii="Calibri" w:hAnsi="Calibri" w:cs="Calibri"/>
          <w:b/>
          <w:bCs/>
          <w:sz w:val="72"/>
          <w:szCs w:val="72"/>
        </w:rPr>
        <w:t>T</w:t>
      </w:r>
      <w:r w:rsidRPr="0055427F">
        <w:rPr>
          <w:rFonts w:ascii="Calibri" w:hAnsi="Calibri" w:cs="Calibri"/>
          <w:b/>
          <w:bCs/>
          <w:sz w:val="72"/>
          <w:szCs w:val="72"/>
        </w:rPr>
        <w:t xml:space="preserve">owns and Rural Housing </w:t>
      </w:r>
      <w:r w:rsidR="00334A7C">
        <w:rPr>
          <w:rFonts w:ascii="Calibri" w:hAnsi="Calibri" w:cs="Calibri"/>
          <w:b/>
          <w:bCs/>
          <w:sz w:val="72"/>
          <w:szCs w:val="72"/>
        </w:rPr>
        <w:t>–</w:t>
      </w:r>
      <w:r w:rsidRPr="0055427F">
        <w:rPr>
          <w:rFonts w:ascii="Calibri" w:hAnsi="Calibri" w:cs="Calibri"/>
          <w:b/>
          <w:bCs/>
          <w:sz w:val="72"/>
          <w:szCs w:val="72"/>
        </w:rPr>
        <w:t xml:space="preserve"> </w:t>
      </w:r>
      <w:bookmarkStart w:id="0" w:name="_GoBack"/>
      <w:r w:rsidR="00334A7C">
        <w:rPr>
          <w:rFonts w:ascii="Calibri" w:hAnsi="Calibri" w:cs="Calibri"/>
          <w:b/>
          <w:bCs/>
          <w:sz w:val="72"/>
          <w:szCs w:val="72"/>
        </w:rPr>
        <w:t xml:space="preserve">Procurement Terms and </w:t>
      </w:r>
      <w:r w:rsidR="00EF3418">
        <w:rPr>
          <w:rFonts w:ascii="Calibri" w:hAnsi="Calibri" w:cs="Calibri"/>
          <w:b/>
          <w:bCs/>
          <w:sz w:val="72"/>
          <w:szCs w:val="72"/>
        </w:rPr>
        <w:t xml:space="preserve">Conditions - </w:t>
      </w:r>
      <w:r w:rsidRPr="0055427F">
        <w:rPr>
          <w:rFonts w:ascii="Calibri" w:hAnsi="Calibri" w:cs="Calibri"/>
          <w:b/>
          <w:bCs/>
          <w:sz w:val="72"/>
          <w:szCs w:val="72"/>
        </w:rPr>
        <w:t>Guidance for Suppliers</w:t>
      </w:r>
    </w:p>
    <w:bookmarkEnd w:id="0"/>
    <w:p w14:paraId="2E2A27E3" w14:textId="77777777" w:rsidR="0055427F" w:rsidRDefault="0055427F" w:rsidP="0055427F">
      <w:pPr>
        <w:rPr>
          <w:b/>
          <w:bCs/>
        </w:rPr>
      </w:pPr>
    </w:p>
    <w:p w14:paraId="6305D466" w14:textId="4BA24A53" w:rsidR="0055427F" w:rsidRDefault="0055427F">
      <w:pPr>
        <w:rPr>
          <w:b/>
          <w:bCs/>
        </w:rPr>
      </w:pPr>
      <w:r>
        <w:rPr>
          <w:b/>
          <w:bCs/>
        </w:rPr>
        <w:br w:type="page"/>
      </w:r>
    </w:p>
    <w:p w14:paraId="197D9CCC" w14:textId="77777777" w:rsidR="00EF3418" w:rsidRPr="00EF3418" w:rsidRDefault="00EF3418" w:rsidP="00EF3418">
      <w:pPr>
        <w:rPr>
          <w:b/>
          <w:bCs/>
        </w:rPr>
      </w:pPr>
      <w:r w:rsidRPr="00EF3418">
        <w:rPr>
          <w:b/>
          <w:bCs/>
        </w:rPr>
        <w:lastRenderedPageBreak/>
        <w:t>Procurement Terms &amp; Conditions</w:t>
      </w:r>
    </w:p>
    <w:p w14:paraId="02F503A6" w14:textId="77777777" w:rsidR="00EF3418" w:rsidRPr="00EF3418" w:rsidRDefault="00EF3418" w:rsidP="00EF3418">
      <w:pPr>
        <w:rPr>
          <w:b/>
          <w:bCs/>
        </w:rPr>
      </w:pPr>
      <w:r w:rsidRPr="00EF3418">
        <w:rPr>
          <w:b/>
          <w:bCs/>
        </w:rPr>
        <w:t>Guidance for Suppliers</w:t>
      </w:r>
    </w:p>
    <w:p w14:paraId="0C999A00" w14:textId="77777777" w:rsidR="00EF3418" w:rsidRPr="00EF3418" w:rsidRDefault="00EF3418" w:rsidP="00EF3418">
      <w:pPr>
        <w:rPr>
          <w:b/>
          <w:bCs/>
        </w:rPr>
      </w:pPr>
      <w:r w:rsidRPr="00EF3418">
        <w:rPr>
          <w:b/>
          <w:bCs/>
        </w:rPr>
        <w:t>1. Purpose of this Guidance</w:t>
      </w:r>
    </w:p>
    <w:p w14:paraId="7BB5A94C" w14:textId="41A09DB2" w:rsidR="00EF3418" w:rsidRPr="00EF3418" w:rsidRDefault="00EF3418" w:rsidP="00EF3418">
      <w:r w:rsidRPr="00EF3418">
        <w:t xml:space="preserve">This document sets out </w:t>
      </w:r>
      <w:r>
        <w:t xml:space="preserve">Shropshire Towns and Rural </w:t>
      </w:r>
      <w:r w:rsidR="007C4C4F">
        <w:t>Housing’s</w:t>
      </w:r>
      <w:r>
        <w:t xml:space="preserve"> (STAR Housing) </w:t>
      </w:r>
      <w:r w:rsidRPr="00EF3418">
        <w:t xml:space="preserve">expectations in relation to </w:t>
      </w:r>
      <w:r w:rsidRPr="00BC06B8">
        <w:t>procurement terms and conditions</w:t>
      </w:r>
      <w:r w:rsidRPr="00EF3418">
        <w:t xml:space="preserve"> and is intended to help Suppliers understand the contractual standards required when working with us.</w:t>
      </w:r>
    </w:p>
    <w:p w14:paraId="032CBB65" w14:textId="5E558771" w:rsidR="00EF3418" w:rsidRPr="00EF3418" w:rsidRDefault="00EF3418" w:rsidP="00EF3418">
      <w:r w:rsidRPr="00EF3418">
        <w:t xml:space="preserve">Compliance with </w:t>
      </w:r>
      <w:r w:rsidR="00C43BB5">
        <w:t xml:space="preserve">STAR’s </w:t>
      </w:r>
      <w:r w:rsidRPr="00EF3418">
        <w:t xml:space="preserve">terms and conditions is a </w:t>
      </w:r>
      <w:r w:rsidRPr="00BC06B8">
        <w:t>fundamental requirement</w:t>
      </w:r>
      <w:r w:rsidRPr="00EF3418">
        <w:t xml:space="preserve"> of doing business with us and forms a core part of our approach to governance, risk management, value for money, and resident protection.</w:t>
      </w:r>
    </w:p>
    <w:p w14:paraId="1E6F9C51" w14:textId="77777777" w:rsidR="00EF3418" w:rsidRPr="00EF3418" w:rsidRDefault="00EF3418" w:rsidP="00EF3418">
      <w:pPr>
        <w:rPr>
          <w:b/>
          <w:bCs/>
        </w:rPr>
      </w:pPr>
      <w:r w:rsidRPr="00EF3418">
        <w:rPr>
          <w:b/>
          <w:bCs/>
        </w:rPr>
        <w:t>2. Contractual Framework</w:t>
      </w:r>
    </w:p>
    <w:p w14:paraId="3ACC8C6B" w14:textId="40B2891C" w:rsidR="00EF3418" w:rsidRPr="00EF3418" w:rsidRDefault="00C43BB5" w:rsidP="00EF3418">
      <w:r>
        <w:t xml:space="preserve">STAR Housing </w:t>
      </w:r>
      <w:r w:rsidR="00EF3418" w:rsidRPr="00EF3418">
        <w:t>uses a range of standard and bespoke contract forms, selected to reflect the nature, risk, and value of the works or services being procured. These may include, but are not limited to:</w:t>
      </w:r>
    </w:p>
    <w:p w14:paraId="5433B92A" w14:textId="77777777" w:rsidR="00EF3418" w:rsidRPr="00EF3418" w:rsidRDefault="00EF3418" w:rsidP="00EF3418">
      <w:pPr>
        <w:numPr>
          <w:ilvl w:val="0"/>
          <w:numId w:val="8"/>
        </w:numPr>
      </w:pPr>
      <w:r w:rsidRPr="00EF3418">
        <w:rPr>
          <w:b/>
          <w:bCs/>
        </w:rPr>
        <w:t>JCT suite of contracts</w:t>
      </w:r>
      <w:r w:rsidRPr="00EF3418">
        <w:t xml:space="preserve"> for works and construction-related activities</w:t>
      </w:r>
    </w:p>
    <w:p w14:paraId="5F53675C" w14:textId="77777777" w:rsidR="00EF3418" w:rsidRPr="00EF3418" w:rsidRDefault="00EF3418" w:rsidP="00EF3418">
      <w:pPr>
        <w:numPr>
          <w:ilvl w:val="0"/>
          <w:numId w:val="8"/>
        </w:numPr>
      </w:pPr>
      <w:r w:rsidRPr="00EF3418">
        <w:rPr>
          <w:b/>
          <w:bCs/>
        </w:rPr>
        <w:t>Goods and Services contracts</w:t>
      </w:r>
      <w:r w:rsidRPr="00EF3418">
        <w:t>, based on the UK Government’s Mid-Tier Contract, for consultancy, professional services, and supply arrangements</w:t>
      </w:r>
    </w:p>
    <w:p w14:paraId="1DB10BDE" w14:textId="77777777" w:rsidR="00EF3418" w:rsidRPr="00EF3418" w:rsidRDefault="00EF3418" w:rsidP="00EF3418">
      <w:pPr>
        <w:numPr>
          <w:ilvl w:val="0"/>
          <w:numId w:val="8"/>
        </w:numPr>
      </w:pPr>
      <w:r w:rsidRPr="00EF3418">
        <w:t>Framework agreements, call-off contracts, and supplementary conditions specific to individual procurement activities</w:t>
      </w:r>
    </w:p>
    <w:p w14:paraId="2C20F627" w14:textId="77777777" w:rsidR="00EF3418" w:rsidRPr="00EF3418" w:rsidRDefault="00EF3418" w:rsidP="00EF3418">
      <w:r w:rsidRPr="00EF3418">
        <w:t>The applicable form of contract and associated terms will be clearly identified as part of each procurement exercise.</w:t>
      </w:r>
    </w:p>
    <w:p w14:paraId="3975D46C" w14:textId="77777777" w:rsidR="00EF3418" w:rsidRPr="00EF3418" w:rsidRDefault="00EF3418" w:rsidP="00EF3418">
      <w:pPr>
        <w:rPr>
          <w:b/>
          <w:bCs/>
        </w:rPr>
      </w:pPr>
      <w:r w:rsidRPr="00EF3418">
        <w:rPr>
          <w:b/>
          <w:bCs/>
        </w:rPr>
        <w:t>3. Supplier Obligations</w:t>
      </w:r>
    </w:p>
    <w:p w14:paraId="7862FC96" w14:textId="77777777" w:rsidR="00EF3418" w:rsidRPr="00EF3418" w:rsidRDefault="00EF3418" w:rsidP="00EF3418">
      <w:r w:rsidRPr="00EF3418">
        <w:t>By submitting a tender, quotation, or proposal, Suppliers confirm that they:</w:t>
      </w:r>
    </w:p>
    <w:p w14:paraId="08810008" w14:textId="77777777" w:rsidR="00EF3418" w:rsidRPr="00EF3418" w:rsidRDefault="00EF3418" w:rsidP="00EF3418">
      <w:pPr>
        <w:numPr>
          <w:ilvl w:val="0"/>
          <w:numId w:val="9"/>
        </w:numPr>
      </w:pPr>
      <w:r w:rsidRPr="00EF3418">
        <w:t>Have read and understood the relevant contract terms and conditions</w:t>
      </w:r>
    </w:p>
    <w:p w14:paraId="57EAD7FF" w14:textId="77777777" w:rsidR="00EF3418" w:rsidRPr="00EF3418" w:rsidRDefault="00EF3418" w:rsidP="00EF3418">
      <w:pPr>
        <w:numPr>
          <w:ilvl w:val="0"/>
          <w:numId w:val="9"/>
        </w:numPr>
      </w:pPr>
      <w:r w:rsidRPr="00EF3418">
        <w:t>Are able to comply with those terms in full</w:t>
      </w:r>
    </w:p>
    <w:p w14:paraId="676D281A" w14:textId="77777777" w:rsidR="00EF3418" w:rsidRPr="00EF3418" w:rsidRDefault="00EF3418" w:rsidP="00EF3418">
      <w:pPr>
        <w:numPr>
          <w:ilvl w:val="0"/>
          <w:numId w:val="9"/>
        </w:numPr>
      </w:pPr>
      <w:r w:rsidRPr="00EF3418">
        <w:t>Accept that the terms form a binding part of any resulting contract award</w:t>
      </w:r>
    </w:p>
    <w:p w14:paraId="61A85ECF" w14:textId="232F0F2A" w:rsidR="00EF3418" w:rsidRPr="00EF3418" w:rsidRDefault="00EF3418" w:rsidP="00EF3418">
      <w:r w:rsidRPr="00EF3418">
        <w:t xml:space="preserve">Suppliers should note that </w:t>
      </w:r>
      <w:r w:rsidR="00C43BB5">
        <w:t>STYAR Housing’s</w:t>
      </w:r>
      <w:r w:rsidRPr="00EF3418">
        <w:t xml:space="preserve"> terms and conditions are designed to reflect the realities of operating within a </w:t>
      </w:r>
      <w:r w:rsidRPr="00C43BB5">
        <w:t>social housing environment</w:t>
      </w:r>
      <w:r w:rsidRPr="00EF3418">
        <w:t>, including working in occupied homes, protecting vulnerable residents, and managing public sector risk appropriately.</w:t>
      </w:r>
    </w:p>
    <w:p w14:paraId="1E6A4BDC" w14:textId="77777777" w:rsidR="00EF3418" w:rsidRPr="00EF3418" w:rsidRDefault="00EF3418" w:rsidP="00EF3418">
      <w:pPr>
        <w:rPr>
          <w:b/>
          <w:bCs/>
        </w:rPr>
      </w:pPr>
      <w:r w:rsidRPr="00EF3418">
        <w:rPr>
          <w:b/>
          <w:bCs/>
        </w:rPr>
        <w:t>4. Priority Areas within Terms &amp; Conditions</w:t>
      </w:r>
    </w:p>
    <w:p w14:paraId="6EED07B1" w14:textId="0E28E4BC" w:rsidR="00EF3418" w:rsidRPr="00EF3418" w:rsidRDefault="00EF3418" w:rsidP="00EF3418">
      <w:r w:rsidRPr="00EF3418">
        <w:t xml:space="preserve">While all contractual provisions are important, Suppliers should be particularly aware that </w:t>
      </w:r>
      <w:r w:rsidR="00C43BB5">
        <w:t xml:space="preserve">STAR Housing </w:t>
      </w:r>
      <w:r w:rsidRPr="00EF3418">
        <w:t>places significant emphasis on:</w:t>
      </w:r>
    </w:p>
    <w:p w14:paraId="164D0A2A" w14:textId="77777777" w:rsidR="00EF3418" w:rsidRPr="00EF3418" w:rsidRDefault="00EF3418" w:rsidP="00EF3418">
      <w:pPr>
        <w:numPr>
          <w:ilvl w:val="0"/>
          <w:numId w:val="10"/>
        </w:numPr>
      </w:pPr>
      <w:r w:rsidRPr="00EF3418">
        <w:rPr>
          <w:b/>
          <w:bCs/>
        </w:rPr>
        <w:t>Health &amp; Safety</w:t>
      </w:r>
      <w:r w:rsidRPr="00EF3418">
        <w:t xml:space="preserve"> – including statutory compliance, safe systems of work, and resident protection</w:t>
      </w:r>
    </w:p>
    <w:p w14:paraId="248BA049" w14:textId="77777777" w:rsidR="00EF3418" w:rsidRPr="00EF3418" w:rsidRDefault="00EF3418" w:rsidP="00EF3418">
      <w:pPr>
        <w:numPr>
          <w:ilvl w:val="0"/>
          <w:numId w:val="10"/>
        </w:numPr>
      </w:pPr>
      <w:r w:rsidRPr="00EF3418">
        <w:rPr>
          <w:b/>
          <w:bCs/>
        </w:rPr>
        <w:t>Safeguarding and Resident Welfare</w:t>
      </w:r>
      <w:r w:rsidRPr="00EF3418">
        <w:t xml:space="preserve"> – especially where work is undertaken in occupied properties or communities</w:t>
      </w:r>
    </w:p>
    <w:p w14:paraId="1B90DEBF" w14:textId="77777777" w:rsidR="00EF3418" w:rsidRPr="00EF3418" w:rsidRDefault="00EF3418" w:rsidP="00EF3418">
      <w:pPr>
        <w:numPr>
          <w:ilvl w:val="0"/>
          <w:numId w:val="10"/>
        </w:numPr>
      </w:pPr>
      <w:r w:rsidRPr="00EF3418">
        <w:rPr>
          <w:b/>
          <w:bCs/>
        </w:rPr>
        <w:t>Insurance and Indemnities</w:t>
      </w:r>
      <w:r w:rsidRPr="00EF3418">
        <w:t xml:space="preserve"> – ensuring appropriate cover is in place for the duration of the contract</w:t>
      </w:r>
    </w:p>
    <w:p w14:paraId="1FBE1124" w14:textId="77777777" w:rsidR="00EF3418" w:rsidRPr="00EF3418" w:rsidRDefault="00EF3418" w:rsidP="00EF3418">
      <w:pPr>
        <w:numPr>
          <w:ilvl w:val="0"/>
          <w:numId w:val="10"/>
        </w:numPr>
      </w:pPr>
      <w:r w:rsidRPr="00EF3418">
        <w:rPr>
          <w:b/>
          <w:bCs/>
        </w:rPr>
        <w:t>Compliance with Law and Policy</w:t>
      </w:r>
      <w:r w:rsidRPr="00EF3418">
        <w:t xml:space="preserve"> – including equality, modern slavery, data protection, and environmental requirements</w:t>
      </w:r>
    </w:p>
    <w:p w14:paraId="59A45E0E" w14:textId="77777777" w:rsidR="00EF3418" w:rsidRPr="00EF3418" w:rsidRDefault="00EF3418" w:rsidP="00EF3418">
      <w:pPr>
        <w:numPr>
          <w:ilvl w:val="0"/>
          <w:numId w:val="10"/>
        </w:numPr>
      </w:pPr>
      <w:r w:rsidRPr="00EF3418">
        <w:rPr>
          <w:b/>
          <w:bCs/>
        </w:rPr>
        <w:t>Supply Chain Management</w:t>
      </w:r>
      <w:r w:rsidRPr="00EF3418">
        <w:t xml:space="preserve"> – including responsibility for subcontractors and third parties</w:t>
      </w:r>
    </w:p>
    <w:p w14:paraId="11B91FF9" w14:textId="77777777" w:rsidR="00EF3418" w:rsidRPr="00EF3418" w:rsidRDefault="00EF3418" w:rsidP="00EF3418">
      <w:pPr>
        <w:numPr>
          <w:ilvl w:val="0"/>
          <w:numId w:val="10"/>
        </w:numPr>
      </w:pPr>
      <w:r w:rsidRPr="00EF3418">
        <w:rPr>
          <w:b/>
          <w:bCs/>
        </w:rPr>
        <w:t>Performance Management and Remedies</w:t>
      </w:r>
      <w:r w:rsidRPr="00EF3418">
        <w:t xml:space="preserve"> – including audit rights, monitoring, and contractual consequences for non-compliance</w:t>
      </w:r>
    </w:p>
    <w:p w14:paraId="060C419E" w14:textId="41506150" w:rsidR="00EF3418" w:rsidRPr="00EF3418" w:rsidRDefault="00C43BB5" w:rsidP="00EF3418">
      <w:r>
        <w:t xml:space="preserve">STAR Housing will expect all appointed Suppliers to sign up to its </w:t>
      </w:r>
      <w:r w:rsidR="007C4C4F">
        <w:t xml:space="preserve">Supplier Code of Conduct. </w:t>
      </w:r>
      <w:r w:rsidR="00EF3418" w:rsidRPr="00EF3418">
        <w:t>Failure to meet contractual obligations in these areas may be treated as a serious breach.</w:t>
      </w:r>
    </w:p>
    <w:p w14:paraId="27A0534A" w14:textId="77777777" w:rsidR="00EF3418" w:rsidRPr="00EF3418" w:rsidRDefault="00EF3418" w:rsidP="00EF3418">
      <w:pPr>
        <w:rPr>
          <w:b/>
          <w:bCs/>
        </w:rPr>
      </w:pPr>
      <w:r w:rsidRPr="00EF3418">
        <w:rPr>
          <w:b/>
          <w:bCs/>
        </w:rPr>
        <w:t>5. Variations and Clarifications</w:t>
      </w:r>
    </w:p>
    <w:p w14:paraId="4CA817DF" w14:textId="77777777" w:rsidR="00EF3418" w:rsidRPr="00C43BB5" w:rsidRDefault="00EF3418" w:rsidP="00EF3418">
      <w:r w:rsidRPr="00C43BB5">
        <w:t>Suppliers are expected to raise any clarification requests or concerns regarding terms and conditions during the procurement process, in line with the instructions set out in the tender documentation.</w:t>
      </w:r>
    </w:p>
    <w:p w14:paraId="67A8A59E" w14:textId="6B8644AE" w:rsidR="00EF3418" w:rsidRPr="00EF3418" w:rsidRDefault="00EF3418" w:rsidP="00EF3418">
      <w:r w:rsidRPr="00C43BB5">
        <w:t>Post-award requests to vary or renegotiate standard terms will only be considered in exceptional circumstances</w:t>
      </w:r>
      <w:r w:rsidRPr="00EF3418">
        <w:t xml:space="preserve"> and at </w:t>
      </w:r>
      <w:r w:rsidR="00C43BB5">
        <w:t>STAR Housing’s</w:t>
      </w:r>
      <w:r w:rsidRPr="00EF3418">
        <w:t xml:space="preserve"> sole discretion.</w:t>
      </w:r>
    </w:p>
    <w:p w14:paraId="6811DA9E" w14:textId="77777777" w:rsidR="00EF3418" w:rsidRPr="00EF3418" w:rsidRDefault="00EF3418" w:rsidP="00EF3418">
      <w:pPr>
        <w:rPr>
          <w:b/>
          <w:bCs/>
        </w:rPr>
      </w:pPr>
      <w:r w:rsidRPr="00EF3418">
        <w:rPr>
          <w:b/>
          <w:bCs/>
        </w:rPr>
        <w:t>6. Contract Management and Compliance</w:t>
      </w:r>
    </w:p>
    <w:p w14:paraId="0FFCCA79" w14:textId="77777777" w:rsidR="00EF3418" w:rsidRPr="00EF3418" w:rsidRDefault="00EF3418" w:rsidP="00EF3418">
      <w:r w:rsidRPr="00EF3418">
        <w:t>Once appointed, Suppliers must ensure that:</w:t>
      </w:r>
    </w:p>
    <w:p w14:paraId="6FF04D16" w14:textId="77777777" w:rsidR="00EF3418" w:rsidRPr="00EF3418" w:rsidRDefault="00EF3418" w:rsidP="00EF3418">
      <w:pPr>
        <w:numPr>
          <w:ilvl w:val="0"/>
          <w:numId w:val="11"/>
        </w:numPr>
      </w:pPr>
      <w:r w:rsidRPr="00EF3418">
        <w:t>Contract terms are communicated to relevant staff and subcontractors</w:t>
      </w:r>
    </w:p>
    <w:p w14:paraId="70CA299E" w14:textId="77777777" w:rsidR="00EF3418" w:rsidRPr="00EF3418" w:rsidRDefault="00EF3418" w:rsidP="00EF3418">
      <w:pPr>
        <w:numPr>
          <w:ilvl w:val="0"/>
          <w:numId w:val="11"/>
        </w:numPr>
      </w:pPr>
      <w:r w:rsidRPr="00EF3418">
        <w:t>Contractual obligations are embedded within day-to-day delivery</w:t>
      </w:r>
    </w:p>
    <w:p w14:paraId="16AB9081" w14:textId="77777777" w:rsidR="00EF3418" w:rsidRPr="00EF3418" w:rsidRDefault="00EF3418" w:rsidP="00EF3418">
      <w:pPr>
        <w:numPr>
          <w:ilvl w:val="0"/>
          <w:numId w:val="11"/>
        </w:numPr>
      </w:pPr>
      <w:r w:rsidRPr="00EF3418">
        <w:t>Any issues, risks, or potential breaches are escalated promptly</w:t>
      </w:r>
    </w:p>
    <w:p w14:paraId="4ED37350" w14:textId="52B4F157" w:rsidR="00EF3418" w:rsidRPr="00EF3418" w:rsidRDefault="00C43BB5" w:rsidP="00EF3418">
      <w:r>
        <w:t xml:space="preserve">STAR Housing </w:t>
      </w:r>
      <w:r w:rsidR="00EF3418" w:rsidRPr="00EF3418">
        <w:t>reserves the right to monitor compliance through audits, reviews, site visits, and performance reporting.</w:t>
      </w:r>
    </w:p>
    <w:p w14:paraId="70EB0CD2" w14:textId="77777777" w:rsidR="00EF3418" w:rsidRPr="00EF3418" w:rsidRDefault="00EF3418" w:rsidP="00EF3418">
      <w:pPr>
        <w:rPr>
          <w:b/>
          <w:bCs/>
        </w:rPr>
      </w:pPr>
      <w:r w:rsidRPr="00EF3418">
        <w:rPr>
          <w:b/>
          <w:bCs/>
        </w:rPr>
        <w:t>7. Consequences of Non-Compliance</w:t>
      </w:r>
    </w:p>
    <w:p w14:paraId="0457B64D" w14:textId="77777777" w:rsidR="00EF3418" w:rsidRPr="00EF3418" w:rsidRDefault="00EF3418" w:rsidP="00EF3418">
      <w:r w:rsidRPr="00EF3418">
        <w:t>Failure to comply with contractual terms and conditions may result in one or more of the following:</w:t>
      </w:r>
    </w:p>
    <w:p w14:paraId="33F94B91" w14:textId="77777777" w:rsidR="00EF3418" w:rsidRPr="00EF3418" w:rsidRDefault="00EF3418" w:rsidP="00EF3418">
      <w:pPr>
        <w:numPr>
          <w:ilvl w:val="0"/>
          <w:numId w:val="12"/>
        </w:numPr>
      </w:pPr>
      <w:r w:rsidRPr="00EF3418">
        <w:t>Corrective action requirements</w:t>
      </w:r>
    </w:p>
    <w:p w14:paraId="7DD4B7DD" w14:textId="77777777" w:rsidR="00EF3418" w:rsidRPr="00EF3418" w:rsidRDefault="00EF3418" w:rsidP="00EF3418">
      <w:pPr>
        <w:numPr>
          <w:ilvl w:val="0"/>
          <w:numId w:val="12"/>
        </w:numPr>
      </w:pPr>
      <w:r w:rsidRPr="00EF3418">
        <w:t>Suspension of works or services</w:t>
      </w:r>
    </w:p>
    <w:p w14:paraId="649E9058" w14:textId="77777777" w:rsidR="00EF3418" w:rsidRPr="00EF3418" w:rsidRDefault="00EF3418" w:rsidP="00EF3418">
      <w:pPr>
        <w:numPr>
          <w:ilvl w:val="0"/>
          <w:numId w:val="12"/>
        </w:numPr>
      </w:pPr>
      <w:r w:rsidRPr="00EF3418">
        <w:t>Contract termination</w:t>
      </w:r>
    </w:p>
    <w:p w14:paraId="321471F0" w14:textId="77777777" w:rsidR="00EF3418" w:rsidRPr="00EF3418" w:rsidRDefault="00EF3418" w:rsidP="00EF3418">
      <w:pPr>
        <w:numPr>
          <w:ilvl w:val="0"/>
          <w:numId w:val="12"/>
        </w:numPr>
      </w:pPr>
      <w:r w:rsidRPr="00EF3418">
        <w:t>Exclusion from future procurement opportunities</w:t>
      </w:r>
    </w:p>
    <w:p w14:paraId="6F1F1431" w14:textId="77777777" w:rsidR="00EF3418" w:rsidRPr="00EF3418" w:rsidRDefault="00EF3418" w:rsidP="00EF3418">
      <w:pPr>
        <w:rPr>
          <w:b/>
          <w:bCs/>
        </w:rPr>
      </w:pPr>
      <w:r w:rsidRPr="00EF3418">
        <w:rPr>
          <w:b/>
          <w:bCs/>
        </w:rPr>
        <w:t>8. Commitment to Professional Standards</w:t>
      </w:r>
    </w:p>
    <w:p w14:paraId="165695F0" w14:textId="3EE3C918" w:rsidR="00EF3418" w:rsidRPr="00EF3418" w:rsidRDefault="00C43BB5" w:rsidP="00EF3418">
      <w:r>
        <w:t xml:space="preserve">STAR Housing </w:t>
      </w:r>
      <w:r w:rsidR="00EF3418" w:rsidRPr="00EF3418">
        <w:t>seeks to work with Suppliers who demonstrate professionalism, transparency, and a commitment to high standards. Acceptance of, and compliance with, our procurement terms and conditions is a key indicator of a Supplier’s suitability and ongoing performance.</w:t>
      </w:r>
    </w:p>
    <w:p w14:paraId="662A69E2" w14:textId="77777777" w:rsidR="00391A56" w:rsidRDefault="00391A56"/>
    <w:sectPr w:rsidR="00391A5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B5E01" w14:textId="77777777" w:rsidR="00E2107B" w:rsidRDefault="00E2107B" w:rsidP="0055427F">
      <w:pPr>
        <w:spacing w:after="0" w:line="240" w:lineRule="auto"/>
      </w:pPr>
      <w:r>
        <w:separator/>
      </w:r>
    </w:p>
  </w:endnote>
  <w:endnote w:type="continuationSeparator" w:id="0">
    <w:p w14:paraId="755FBC98" w14:textId="77777777" w:rsidR="00E2107B" w:rsidRDefault="00E2107B" w:rsidP="0055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61118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934B5A" w14:textId="1FE9583C" w:rsidR="0055427F" w:rsidRDefault="0055427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AE7A38" w14:textId="77777777" w:rsidR="0055427F" w:rsidRDefault="00554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C99E8" w14:textId="77777777" w:rsidR="00E2107B" w:rsidRDefault="00E2107B" w:rsidP="0055427F">
      <w:pPr>
        <w:spacing w:after="0" w:line="240" w:lineRule="auto"/>
      </w:pPr>
      <w:r>
        <w:separator/>
      </w:r>
    </w:p>
  </w:footnote>
  <w:footnote w:type="continuationSeparator" w:id="0">
    <w:p w14:paraId="203D88B0" w14:textId="77777777" w:rsidR="00E2107B" w:rsidRDefault="00E2107B" w:rsidP="00554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5F3D5" w14:textId="42725B45" w:rsidR="0055427F" w:rsidRDefault="005542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EED666" wp14:editId="1ACC0D82">
          <wp:simplePos x="0" y="0"/>
          <wp:positionH relativeFrom="column">
            <wp:posOffset>4320540</wp:posOffset>
          </wp:positionH>
          <wp:positionV relativeFrom="paragraph">
            <wp:posOffset>-251460</wp:posOffset>
          </wp:positionV>
          <wp:extent cx="1211580" cy="640080"/>
          <wp:effectExtent l="0" t="0" r="7620" b="7620"/>
          <wp:wrapTight wrapText="bothSides">
            <wp:wrapPolygon edited="0">
              <wp:start x="0" y="0"/>
              <wp:lineTo x="0" y="21214"/>
              <wp:lineTo x="21396" y="21214"/>
              <wp:lineTo x="21396" y="0"/>
              <wp:lineTo x="0" y="0"/>
            </wp:wrapPolygon>
          </wp:wrapTight>
          <wp:docPr id="19105745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1BBB"/>
    <w:multiLevelType w:val="multilevel"/>
    <w:tmpl w:val="3074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40DB6"/>
    <w:multiLevelType w:val="multilevel"/>
    <w:tmpl w:val="7FCC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E1595"/>
    <w:multiLevelType w:val="multilevel"/>
    <w:tmpl w:val="52AA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E4784"/>
    <w:multiLevelType w:val="multilevel"/>
    <w:tmpl w:val="AE74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204FD"/>
    <w:multiLevelType w:val="multilevel"/>
    <w:tmpl w:val="00F4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2461B"/>
    <w:multiLevelType w:val="multilevel"/>
    <w:tmpl w:val="6B18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24F17"/>
    <w:multiLevelType w:val="multilevel"/>
    <w:tmpl w:val="B8E0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27D26"/>
    <w:multiLevelType w:val="multilevel"/>
    <w:tmpl w:val="C46C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2C45AE"/>
    <w:multiLevelType w:val="multilevel"/>
    <w:tmpl w:val="A992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093B5D"/>
    <w:multiLevelType w:val="multilevel"/>
    <w:tmpl w:val="5026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147071"/>
    <w:multiLevelType w:val="multilevel"/>
    <w:tmpl w:val="F248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423A43"/>
    <w:multiLevelType w:val="multilevel"/>
    <w:tmpl w:val="D0C8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11"/>
  </w:num>
  <w:num w:numId="8">
    <w:abstractNumId w:val="0"/>
  </w:num>
  <w:num w:numId="9">
    <w:abstractNumId w:val="5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7F"/>
    <w:rsid w:val="00160289"/>
    <w:rsid w:val="00194F0D"/>
    <w:rsid w:val="001E1A2B"/>
    <w:rsid w:val="002C6EAE"/>
    <w:rsid w:val="00334A7C"/>
    <w:rsid w:val="00391A56"/>
    <w:rsid w:val="003E44D8"/>
    <w:rsid w:val="00400C90"/>
    <w:rsid w:val="0043393B"/>
    <w:rsid w:val="0054116A"/>
    <w:rsid w:val="0055427F"/>
    <w:rsid w:val="006F43BF"/>
    <w:rsid w:val="007B49B1"/>
    <w:rsid w:val="007C00B2"/>
    <w:rsid w:val="007C4C4F"/>
    <w:rsid w:val="008D3795"/>
    <w:rsid w:val="0094718B"/>
    <w:rsid w:val="00BC06B8"/>
    <w:rsid w:val="00C43BB5"/>
    <w:rsid w:val="00D0688D"/>
    <w:rsid w:val="00E2107B"/>
    <w:rsid w:val="00E5400E"/>
    <w:rsid w:val="00EF3418"/>
    <w:rsid w:val="00F9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68C40"/>
  <w15:chartTrackingRefBased/>
  <w15:docId w15:val="{4FE8E9FB-4593-4BAF-AC63-707DE727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2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7F"/>
  </w:style>
  <w:style w:type="paragraph" w:styleId="Footer">
    <w:name w:val="footer"/>
    <w:basedOn w:val="Normal"/>
    <w:link w:val="FooterChar"/>
    <w:uiPriority w:val="99"/>
    <w:unhideWhenUsed/>
    <w:rsid w:val="00554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7F"/>
  </w:style>
  <w:style w:type="character" w:styleId="Strong">
    <w:name w:val="Strong"/>
    <w:basedOn w:val="DefaultParagraphFont"/>
    <w:uiPriority w:val="22"/>
    <w:qFormat/>
    <w:rsid w:val="006F4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A14116645C645A8C280EC56DEE134" ma:contentTypeVersion="13" ma:contentTypeDescription="Create a new document." ma:contentTypeScope="" ma:versionID="c4a0c3a91c4b28f60ec4e192b60314f4">
  <xsd:schema xmlns:xsd="http://www.w3.org/2001/XMLSchema" xmlns:xs="http://www.w3.org/2001/XMLSchema" xmlns:p="http://schemas.microsoft.com/office/2006/metadata/properties" xmlns:ns2="474d7909-07b7-41dc-bb13-1b55f5136c91" xmlns:ns3="fe726130-445a-4821-8ab7-229532cd0f2f" targetNamespace="http://schemas.microsoft.com/office/2006/metadata/properties" ma:root="true" ma:fieldsID="d7b2020011836fcff816405c1831dedf" ns2:_="" ns3:_="">
    <xsd:import namespace="474d7909-07b7-41dc-bb13-1b55f5136c91"/>
    <xsd:import namespace="fe726130-445a-4821-8ab7-229532cd0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d7909-07b7-41dc-bb13-1b55f5136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cd053d7-5efd-4a40-9693-a517d4392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26130-445a-4821-8ab7-229532cd0f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1b04c1-895e-4cb9-9fe6-896a65377a80}" ma:internalName="TaxCatchAll" ma:showField="CatchAllData" ma:web="fe726130-445a-4821-8ab7-229532cd0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4d7909-07b7-41dc-bb13-1b55f5136c91">
      <Terms xmlns="http://schemas.microsoft.com/office/infopath/2007/PartnerControls"/>
    </lcf76f155ced4ddcb4097134ff3c332f>
    <TaxCatchAll xmlns="fe726130-445a-4821-8ab7-229532cd0f2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1E2B9C935EF40B03364F70332775D" ma:contentTypeVersion="18" ma:contentTypeDescription="Create a new document." ma:contentTypeScope="" ma:versionID="c80468228a148b06e6fd0c34d774810c">
  <xsd:schema xmlns:xsd="http://www.w3.org/2001/XMLSchema" xmlns:xs="http://www.w3.org/2001/XMLSchema" xmlns:p="http://schemas.microsoft.com/office/2006/metadata/properties" xmlns:ns2="08a5ec7f-19e7-4354-82fa-18cae724498d" xmlns:ns3="65e6a09a-9d2e-4fd7-9cbc-1c65274b11aa" targetNamespace="http://schemas.microsoft.com/office/2006/metadata/properties" ma:root="true" ma:fieldsID="5931029d3282090ae6f3e66a04ef82fe" ns2:_="" ns3:_="">
    <xsd:import namespace="08a5ec7f-19e7-4354-82fa-18cae724498d"/>
    <xsd:import namespace="65e6a09a-9d2e-4fd7-9cbc-1c65274b11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5ec7f-19e7-4354-82fa-18cae72449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693bf29-9ebb-4800-a6d6-e0954da24bc0}" ma:internalName="TaxCatchAll" ma:showField="CatchAllData" ma:web="08a5ec7f-19e7-4354-82fa-18cae7244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6a09a-9d2e-4fd7-9cbc-1c65274b1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a64c82-7a4b-42c6-aa6f-bd38c9566c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FA394-7694-46F2-BDB5-1BAA5ECF9C44}"/>
</file>

<file path=customXml/itemProps2.xml><?xml version="1.0" encoding="utf-8"?>
<ds:datastoreItem xmlns:ds="http://schemas.openxmlformats.org/officeDocument/2006/customXml" ds:itemID="{7600D867-CF96-4A94-9600-FFC8E824D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14123-663D-4479-AF79-FF14DEC706EF}">
  <ds:schemaRefs>
    <ds:schemaRef ds:uri="http://schemas.microsoft.com/office/2006/metadata/properties"/>
    <ds:schemaRef ds:uri="http://schemas.microsoft.com/office/infopath/2007/PartnerControls"/>
    <ds:schemaRef ds:uri="08a5ec7f-19e7-4354-82fa-18cae724498d"/>
    <ds:schemaRef ds:uri="65e6a09a-9d2e-4fd7-9cbc-1c65274b11aa"/>
  </ds:schemaRefs>
</ds:datastoreItem>
</file>

<file path=customXml/itemProps4.xml><?xml version="1.0" encoding="utf-8"?>
<ds:datastoreItem xmlns:ds="http://schemas.openxmlformats.org/officeDocument/2006/customXml" ds:itemID="{4CB112A3-00B2-4DD9-BA5A-E2A51979D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5ec7f-19e7-4354-82fa-18cae724498d"/>
    <ds:schemaRef ds:uri="65e6a09a-9d2e-4fd7-9cbc-1c65274b1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Stephens</dc:creator>
  <cp:keywords/>
  <dc:description/>
  <cp:lastModifiedBy>Emily Parry</cp:lastModifiedBy>
  <cp:revision>2</cp:revision>
  <dcterms:created xsi:type="dcterms:W3CDTF">2026-01-22T09:32:00Z</dcterms:created>
  <dcterms:modified xsi:type="dcterms:W3CDTF">2026-01-22T09:32:00Z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0x010100AC8A14116645C645A8C280EC56DEE134</vt:lpwstr>
  </property>
  <property fmtid="{D5CDD505-2E9C-101B-9397-08002B2CF9AE}" pid="3" name="_dlc_DocIdItemGuid">
    <vt:lpwstr>1a30eff1-799a-4dc1-acb0-53fc63344474</vt:lpwstr>
  </property>
  <property fmtid="{D5CDD505-2E9C-101B-9397-08002B2CF9AE}" pid="4" name="MediaServiceImageTags">
    <vt:lpwstr/>
  </property>
</Properties>
</file>