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EE15" w14:textId="0F3D843D" w:rsidR="0055427F" w:rsidRDefault="0055427F" w:rsidP="0055427F">
      <w:pPr>
        <w:rPr>
          <w:b/>
          <w:bCs/>
        </w:rPr>
      </w:pPr>
    </w:p>
    <w:p w14:paraId="546148FB" w14:textId="77777777" w:rsidR="0055427F" w:rsidRDefault="0055427F" w:rsidP="0055427F">
      <w:pPr>
        <w:rPr>
          <w:b/>
          <w:bCs/>
        </w:rPr>
      </w:pPr>
    </w:p>
    <w:p w14:paraId="43320AE3" w14:textId="77777777" w:rsidR="0055427F" w:rsidRDefault="0055427F" w:rsidP="0055427F">
      <w:pPr>
        <w:rPr>
          <w:b/>
          <w:bCs/>
        </w:rPr>
      </w:pPr>
    </w:p>
    <w:p w14:paraId="1807153C" w14:textId="77777777" w:rsid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</w:p>
    <w:p w14:paraId="6FCA5C85" w14:textId="6E61318F" w:rsid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noProof/>
          <w:color w:val="000000" w:themeColor="text1"/>
          <w:sz w:val="56"/>
          <w:szCs w:val="56"/>
        </w:rPr>
        <w:drawing>
          <wp:inline distT="0" distB="0" distL="0" distR="0" wp14:anchorId="21B720C7" wp14:editId="09714671">
            <wp:extent cx="1590070" cy="838200"/>
            <wp:effectExtent l="0" t="0" r="0" b="0"/>
            <wp:docPr id="914957620" name="Picture 1" descr="A logo with a tree and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57620" name="Picture 1" descr="A logo with a tree and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09" cy="839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7ED3B" w14:textId="1A7C701C" w:rsidR="0055427F" w:rsidRPr="0055427F" w:rsidRDefault="0055427F" w:rsidP="0055427F">
      <w:pPr>
        <w:rPr>
          <w:rFonts w:ascii="Calibri" w:hAnsi="Calibri" w:cs="Calibri"/>
          <w:b/>
          <w:bCs/>
          <w:sz w:val="72"/>
          <w:szCs w:val="72"/>
        </w:rPr>
      </w:pPr>
      <w:r w:rsidRPr="0055427F">
        <w:rPr>
          <w:rFonts w:ascii="Calibri" w:hAnsi="Calibri" w:cs="Calibri"/>
          <w:b/>
          <w:bCs/>
          <w:sz w:val="72"/>
          <w:szCs w:val="72"/>
        </w:rPr>
        <w:t xml:space="preserve">Shropshire </w:t>
      </w:r>
      <w:r w:rsidR="00AC4962">
        <w:rPr>
          <w:rFonts w:ascii="Calibri" w:hAnsi="Calibri" w:cs="Calibri"/>
          <w:b/>
          <w:bCs/>
          <w:sz w:val="72"/>
          <w:szCs w:val="72"/>
        </w:rPr>
        <w:t>T</w:t>
      </w:r>
      <w:r w:rsidRPr="0055427F">
        <w:rPr>
          <w:rFonts w:ascii="Calibri" w:hAnsi="Calibri" w:cs="Calibri"/>
          <w:b/>
          <w:bCs/>
          <w:sz w:val="72"/>
          <w:szCs w:val="72"/>
        </w:rPr>
        <w:t xml:space="preserve">owns and Rural Housing - </w:t>
      </w:r>
      <w:bookmarkStart w:id="0" w:name="_GoBack"/>
      <w:r w:rsidRPr="0055427F">
        <w:rPr>
          <w:rFonts w:ascii="Calibri" w:hAnsi="Calibri" w:cs="Calibri"/>
          <w:b/>
          <w:bCs/>
          <w:sz w:val="72"/>
          <w:szCs w:val="72"/>
        </w:rPr>
        <w:t>Health &amp; Safety Guidance for Suppliers</w:t>
      </w:r>
      <w:bookmarkEnd w:id="0"/>
    </w:p>
    <w:p w14:paraId="2E2A27E3" w14:textId="77777777" w:rsidR="0055427F" w:rsidRDefault="0055427F" w:rsidP="0055427F">
      <w:pPr>
        <w:rPr>
          <w:b/>
          <w:bCs/>
        </w:rPr>
      </w:pPr>
    </w:p>
    <w:p w14:paraId="6305D466" w14:textId="4BA24A53" w:rsidR="0055427F" w:rsidRDefault="0055427F">
      <w:pPr>
        <w:rPr>
          <w:b/>
          <w:bCs/>
        </w:rPr>
      </w:pPr>
      <w:r>
        <w:rPr>
          <w:b/>
          <w:bCs/>
        </w:rPr>
        <w:br w:type="page"/>
      </w:r>
    </w:p>
    <w:p w14:paraId="3714F2F6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lastRenderedPageBreak/>
        <w:t>1. Our Commitment to Health &amp; Safety</w:t>
      </w:r>
    </w:p>
    <w:p w14:paraId="39B98B07" w14:textId="4FCA2DBA" w:rsidR="0055427F" w:rsidRPr="0055427F" w:rsidRDefault="0055427F" w:rsidP="0055427F">
      <w:r w:rsidRPr="0055427F">
        <w:t>STAR Housing is committed to maintaining the highest standards of health, safety, and welfare for our residents, employees, contractors, and all others who may be affected by our activities.</w:t>
      </w:r>
    </w:p>
    <w:p w14:paraId="1E176635" w14:textId="77777777" w:rsidR="0055427F" w:rsidRPr="0055427F" w:rsidRDefault="0055427F" w:rsidP="0055427F">
      <w:r w:rsidRPr="0055427F">
        <w:t>Health &amp; Safety is a fundamental requirement for all Suppliers working on our behalf and is treated as a core condition of contract, not an optional or secondary consideration.</w:t>
      </w:r>
    </w:p>
    <w:p w14:paraId="02B8D0DB" w14:textId="77777777" w:rsidR="0055427F" w:rsidRDefault="0055427F" w:rsidP="0055427F">
      <w:r w:rsidRPr="0055427F">
        <w:t>Suppliers must recognise that our housing stock includes occupied homes, vulnerable residents, and mixed-use environments. As such, poor health &amp; safety practice presents unacceptable risk.</w:t>
      </w:r>
    </w:p>
    <w:p w14:paraId="3BA67814" w14:textId="018D24F6" w:rsidR="0055427F" w:rsidRPr="006F43BF" w:rsidRDefault="006F43BF" w:rsidP="0055427F">
      <w:r w:rsidRPr="006F43BF">
        <w:t xml:space="preserve">STAR’s health &amp; safety requirements will be clearly defined within each procurement activity it undertakes. As a minimum, all Suppliers will be required to formally commit to STAR’s </w:t>
      </w:r>
      <w:r w:rsidRPr="006F43BF">
        <w:rPr>
          <w:rStyle w:val="Strong"/>
        </w:rPr>
        <w:t>Supplier Code of Conduct</w:t>
      </w:r>
      <w:r w:rsidRPr="006F43BF">
        <w:t xml:space="preserve">, with regard to </w:t>
      </w:r>
      <w:r w:rsidRPr="006F43BF">
        <w:rPr>
          <w:rStyle w:val="Strong"/>
        </w:rPr>
        <w:t>Section 7</w:t>
      </w:r>
      <w:r w:rsidRPr="006F43BF">
        <w:t>, which sets out STAR’s expectations in relation to health, safety, and welfare.</w:t>
      </w:r>
    </w:p>
    <w:p w14:paraId="7FE438BE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t>2. Legal Compliance</w:t>
      </w:r>
    </w:p>
    <w:p w14:paraId="7161D9C1" w14:textId="77777777" w:rsidR="0055427F" w:rsidRPr="0055427F" w:rsidRDefault="0055427F" w:rsidP="0055427F">
      <w:r w:rsidRPr="0055427F">
        <w:t>All Suppliers must, as a minimum, comply with:</w:t>
      </w:r>
    </w:p>
    <w:p w14:paraId="51EBC510" w14:textId="77777777" w:rsidR="0055427F" w:rsidRPr="0055427F" w:rsidRDefault="0055427F" w:rsidP="0055427F">
      <w:pPr>
        <w:numPr>
          <w:ilvl w:val="0"/>
          <w:numId w:val="1"/>
        </w:numPr>
      </w:pPr>
      <w:r w:rsidRPr="0055427F">
        <w:t xml:space="preserve">The </w:t>
      </w:r>
      <w:r w:rsidRPr="0055427F">
        <w:rPr>
          <w:b/>
          <w:bCs/>
        </w:rPr>
        <w:t>Health and Safety at Work etc. Act 1974</w:t>
      </w:r>
    </w:p>
    <w:p w14:paraId="5CF3CBB4" w14:textId="77777777" w:rsidR="0055427F" w:rsidRPr="0055427F" w:rsidRDefault="0055427F" w:rsidP="0055427F">
      <w:pPr>
        <w:numPr>
          <w:ilvl w:val="0"/>
          <w:numId w:val="1"/>
        </w:numPr>
      </w:pPr>
      <w:r w:rsidRPr="0055427F">
        <w:t>All relevant UK health &amp; safety legislation, regulations, Approved Codes of Practice (ACOPs), and guidance</w:t>
      </w:r>
    </w:p>
    <w:p w14:paraId="0FDAB0E1" w14:textId="77777777" w:rsidR="0055427F" w:rsidRPr="0055427F" w:rsidRDefault="0055427F" w:rsidP="0055427F">
      <w:pPr>
        <w:numPr>
          <w:ilvl w:val="0"/>
          <w:numId w:val="1"/>
        </w:numPr>
      </w:pPr>
      <w:r w:rsidRPr="0055427F">
        <w:t>Industry-specific regulations applicable to the works or services being delivered</w:t>
      </w:r>
    </w:p>
    <w:p w14:paraId="53C05E36" w14:textId="77777777" w:rsidR="0055427F" w:rsidRPr="0055427F" w:rsidRDefault="0055427F" w:rsidP="0055427F">
      <w:r w:rsidRPr="0055427F">
        <w:t>Compliance with legislation is a baseline requirement and does not remove the Supplier’s duty to take all reasonably practicable steps to prevent harm.</w:t>
      </w:r>
    </w:p>
    <w:p w14:paraId="773D51AE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t>3. Supplier Responsibilities</w:t>
      </w:r>
    </w:p>
    <w:p w14:paraId="067383CA" w14:textId="77777777" w:rsidR="0055427F" w:rsidRPr="0055427F" w:rsidRDefault="0055427F" w:rsidP="0055427F">
      <w:r w:rsidRPr="0055427F">
        <w:t>Suppliers are responsible for ensuring that:</w:t>
      </w:r>
    </w:p>
    <w:p w14:paraId="18938E5D" w14:textId="77777777" w:rsidR="0055427F" w:rsidRPr="0055427F" w:rsidRDefault="0055427F" w:rsidP="0055427F">
      <w:pPr>
        <w:numPr>
          <w:ilvl w:val="0"/>
          <w:numId w:val="2"/>
        </w:numPr>
      </w:pPr>
      <w:r w:rsidRPr="0055427F">
        <w:t>All work is planned, managed, and delivered safely</w:t>
      </w:r>
    </w:p>
    <w:p w14:paraId="6FC93F2D" w14:textId="77777777" w:rsidR="0055427F" w:rsidRPr="0055427F" w:rsidRDefault="0055427F" w:rsidP="0055427F">
      <w:pPr>
        <w:numPr>
          <w:ilvl w:val="0"/>
          <w:numId w:val="2"/>
        </w:numPr>
      </w:pPr>
      <w:r w:rsidRPr="0055427F">
        <w:t>Risks are identified, assessed, and controlled before work begins</w:t>
      </w:r>
    </w:p>
    <w:p w14:paraId="1689A6CC" w14:textId="77777777" w:rsidR="0055427F" w:rsidRPr="0055427F" w:rsidRDefault="0055427F" w:rsidP="0055427F">
      <w:pPr>
        <w:numPr>
          <w:ilvl w:val="0"/>
          <w:numId w:val="2"/>
        </w:numPr>
      </w:pPr>
      <w:r w:rsidRPr="0055427F">
        <w:t>Suitable risk assessments and method statements (RAMS) are produced, communicated, and followed</w:t>
      </w:r>
    </w:p>
    <w:p w14:paraId="39D0A6EB" w14:textId="77777777" w:rsidR="0055427F" w:rsidRPr="0055427F" w:rsidRDefault="0055427F" w:rsidP="0055427F">
      <w:pPr>
        <w:numPr>
          <w:ilvl w:val="0"/>
          <w:numId w:val="2"/>
        </w:numPr>
      </w:pPr>
      <w:r w:rsidRPr="0055427F">
        <w:t>Staff, subcontractors, and agency workers are:</w:t>
      </w:r>
    </w:p>
    <w:p w14:paraId="14A051CD" w14:textId="77777777" w:rsidR="0055427F" w:rsidRPr="0055427F" w:rsidRDefault="0055427F" w:rsidP="0055427F">
      <w:pPr>
        <w:numPr>
          <w:ilvl w:val="1"/>
          <w:numId w:val="2"/>
        </w:numPr>
      </w:pPr>
      <w:r w:rsidRPr="0055427F">
        <w:t>Competent, trained, and appropriately supervised</w:t>
      </w:r>
    </w:p>
    <w:p w14:paraId="656EE370" w14:textId="77777777" w:rsidR="0055427F" w:rsidRPr="0055427F" w:rsidRDefault="0055427F" w:rsidP="0055427F">
      <w:pPr>
        <w:numPr>
          <w:ilvl w:val="1"/>
          <w:numId w:val="2"/>
        </w:numPr>
      </w:pPr>
      <w:r w:rsidRPr="0055427F">
        <w:t>Provided with suitable PPE where required</w:t>
      </w:r>
    </w:p>
    <w:p w14:paraId="6A1821D7" w14:textId="77777777" w:rsidR="0055427F" w:rsidRPr="0055427F" w:rsidRDefault="0055427F" w:rsidP="0055427F">
      <w:pPr>
        <w:numPr>
          <w:ilvl w:val="0"/>
          <w:numId w:val="2"/>
        </w:numPr>
      </w:pPr>
      <w:r w:rsidRPr="0055427F">
        <w:t>Plant, equipment, and materials are:</w:t>
      </w:r>
    </w:p>
    <w:p w14:paraId="3AD7335C" w14:textId="77777777" w:rsidR="0055427F" w:rsidRPr="0055427F" w:rsidRDefault="0055427F" w:rsidP="0055427F">
      <w:pPr>
        <w:numPr>
          <w:ilvl w:val="1"/>
          <w:numId w:val="2"/>
        </w:numPr>
      </w:pPr>
      <w:r w:rsidRPr="0055427F">
        <w:t>Safe, well maintained, and fit for purpose</w:t>
      </w:r>
    </w:p>
    <w:p w14:paraId="6CDA2CBB" w14:textId="77777777" w:rsidR="0055427F" w:rsidRPr="0055427F" w:rsidRDefault="0055427F" w:rsidP="0055427F">
      <w:pPr>
        <w:numPr>
          <w:ilvl w:val="0"/>
          <w:numId w:val="2"/>
        </w:numPr>
      </w:pPr>
      <w:r w:rsidRPr="0055427F">
        <w:t>Safe systems of work are reviewed and updated as necessary</w:t>
      </w:r>
    </w:p>
    <w:p w14:paraId="08F2F9BF" w14:textId="77777777" w:rsidR="0055427F" w:rsidRPr="0055427F" w:rsidRDefault="0055427F" w:rsidP="0055427F">
      <w:r w:rsidRPr="0055427F">
        <w:t>Suppliers remain fully responsible for the actions and omissions of their employees, subcontractors, and supply chain.</w:t>
      </w:r>
    </w:p>
    <w:p w14:paraId="6C63D8F2" w14:textId="57250AF8" w:rsidR="0055427F" w:rsidRDefault="0055427F">
      <w:r>
        <w:br w:type="page"/>
      </w:r>
    </w:p>
    <w:p w14:paraId="4322A93B" w14:textId="77777777" w:rsidR="0055427F" w:rsidRPr="0055427F" w:rsidRDefault="0055427F" w:rsidP="0055427F"/>
    <w:p w14:paraId="4D869D78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t>4. Working in Occupied Homes &amp; Communities</w:t>
      </w:r>
    </w:p>
    <w:p w14:paraId="4053F19D" w14:textId="77777777" w:rsidR="0055427F" w:rsidRPr="0055427F" w:rsidRDefault="0055427F" w:rsidP="0055427F">
      <w:r w:rsidRPr="0055427F">
        <w:t>Where work takes place in or near occupied properties, Suppliers must take additional precautions, including:</w:t>
      </w:r>
    </w:p>
    <w:p w14:paraId="6F68F8E3" w14:textId="77777777" w:rsidR="0055427F" w:rsidRPr="0055427F" w:rsidRDefault="0055427F" w:rsidP="0055427F">
      <w:pPr>
        <w:numPr>
          <w:ilvl w:val="0"/>
          <w:numId w:val="3"/>
        </w:numPr>
      </w:pPr>
      <w:r w:rsidRPr="0055427F">
        <w:t>Protecting residents, visitors, and members of the public from harm</w:t>
      </w:r>
    </w:p>
    <w:p w14:paraId="2921090A" w14:textId="77777777" w:rsidR="0055427F" w:rsidRPr="0055427F" w:rsidRDefault="0055427F" w:rsidP="0055427F">
      <w:pPr>
        <w:numPr>
          <w:ilvl w:val="0"/>
          <w:numId w:val="3"/>
        </w:numPr>
      </w:pPr>
      <w:r w:rsidRPr="0055427F">
        <w:t>Minimising disruption, noise, dust, and access restrictions</w:t>
      </w:r>
    </w:p>
    <w:p w14:paraId="73647FC0" w14:textId="77777777" w:rsidR="0055427F" w:rsidRPr="0055427F" w:rsidRDefault="0055427F" w:rsidP="0055427F">
      <w:pPr>
        <w:numPr>
          <w:ilvl w:val="0"/>
          <w:numId w:val="3"/>
        </w:numPr>
      </w:pPr>
      <w:r w:rsidRPr="0055427F">
        <w:t>Maintaining clear escape routes and safe access at all times</w:t>
      </w:r>
    </w:p>
    <w:p w14:paraId="7185CEA6" w14:textId="77777777" w:rsidR="0055427F" w:rsidRPr="0055427F" w:rsidRDefault="0055427F" w:rsidP="0055427F">
      <w:pPr>
        <w:numPr>
          <w:ilvl w:val="0"/>
          <w:numId w:val="3"/>
        </w:numPr>
      </w:pPr>
      <w:r w:rsidRPr="0055427F">
        <w:t>Securing tools, materials, and hazardous substances</w:t>
      </w:r>
    </w:p>
    <w:p w14:paraId="3555B7B5" w14:textId="77777777" w:rsidR="0055427F" w:rsidRPr="0055427F" w:rsidRDefault="0055427F" w:rsidP="0055427F">
      <w:pPr>
        <w:numPr>
          <w:ilvl w:val="0"/>
          <w:numId w:val="3"/>
        </w:numPr>
      </w:pPr>
      <w:r w:rsidRPr="0055427F">
        <w:t>Being respectful, professional, and considerate when interacting with residents</w:t>
      </w:r>
    </w:p>
    <w:p w14:paraId="347568E8" w14:textId="77777777" w:rsidR="0055427F" w:rsidRPr="0055427F" w:rsidRDefault="0055427F" w:rsidP="0055427F">
      <w:r w:rsidRPr="0055427F">
        <w:t>Suppliers must be aware that residents may include children, elderly people, or individuals with disabilities or health conditions.</w:t>
      </w:r>
    </w:p>
    <w:p w14:paraId="7FA0C945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t>5. Incident Reporting &amp; Cooperation</w:t>
      </w:r>
    </w:p>
    <w:p w14:paraId="565662F0" w14:textId="77777777" w:rsidR="0055427F" w:rsidRPr="0055427F" w:rsidRDefault="0055427F" w:rsidP="0055427F">
      <w:r w:rsidRPr="0055427F">
        <w:t>Suppliers must:</w:t>
      </w:r>
    </w:p>
    <w:p w14:paraId="4B1E693A" w14:textId="77777777" w:rsidR="0055427F" w:rsidRPr="0055427F" w:rsidRDefault="0055427F" w:rsidP="0055427F">
      <w:pPr>
        <w:numPr>
          <w:ilvl w:val="0"/>
          <w:numId w:val="4"/>
        </w:numPr>
      </w:pPr>
      <w:r w:rsidRPr="0055427F">
        <w:t>Immediately report any accidents, incidents, near misses, dangerous occurrences, or concerns</w:t>
      </w:r>
    </w:p>
    <w:p w14:paraId="68B7C051" w14:textId="6A768CFC" w:rsidR="0055427F" w:rsidRPr="0055427F" w:rsidRDefault="0055427F" w:rsidP="0055427F">
      <w:pPr>
        <w:numPr>
          <w:ilvl w:val="0"/>
          <w:numId w:val="4"/>
        </w:numPr>
      </w:pPr>
      <w:r w:rsidRPr="0055427F">
        <w:t xml:space="preserve">Co-operate fully with any investigations undertaken by </w:t>
      </w:r>
      <w:r>
        <w:t>STAR Housing</w:t>
      </w:r>
    </w:p>
    <w:p w14:paraId="6C59D2FE" w14:textId="77777777" w:rsidR="0055427F" w:rsidRPr="0055427F" w:rsidRDefault="0055427F" w:rsidP="0055427F">
      <w:pPr>
        <w:numPr>
          <w:ilvl w:val="0"/>
          <w:numId w:val="4"/>
        </w:numPr>
      </w:pPr>
      <w:r w:rsidRPr="0055427F">
        <w:t>Comply with all RIDDOR reporting requirements where applicable</w:t>
      </w:r>
    </w:p>
    <w:p w14:paraId="4D0045DF" w14:textId="77777777" w:rsidR="0055427F" w:rsidRPr="0055427F" w:rsidRDefault="0055427F" w:rsidP="0055427F">
      <w:pPr>
        <w:numPr>
          <w:ilvl w:val="0"/>
          <w:numId w:val="4"/>
        </w:numPr>
      </w:pPr>
      <w:r w:rsidRPr="0055427F">
        <w:t>Implement corrective actions promptly to prevent recurrence</w:t>
      </w:r>
    </w:p>
    <w:p w14:paraId="1E854F8F" w14:textId="77777777" w:rsidR="0055427F" w:rsidRPr="0055427F" w:rsidRDefault="0055427F" w:rsidP="0055427F">
      <w:r w:rsidRPr="0055427F">
        <w:t>Failure to report incidents or near misses will be treated as a serious breach.</w:t>
      </w:r>
    </w:p>
    <w:p w14:paraId="5D722839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t>6. Monitoring, Audits &amp; Assurance</w:t>
      </w:r>
    </w:p>
    <w:p w14:paraId="7F7DE7E6" w14:textId="4DB2F653" w:rsidR="0055427F" w:rsidRPr="0055427F" w:rsidRDefault="0055427F" w:rsidP="0055427F">
      <w:r>
        <w:t xml:space="preserve">STAR Housing </w:t>
      </w:r>
      <w:r w:rsidRPr="0055427F">
        <w:t>reserves the right to:</w:t>
      </w:r>
    </w:p>
    <w:p w14:paraId="1C36508D" w14:textId="77777777" w:rsidR="0055427F" w:rsidRPr="0055427F" w:rsidRDefault="0055427F" w:rsidP="0055427F">
      <w:pPr>
        <w:numPr>
          <w:ilvl w:val="0"/>
          <w:numId w:val="5"/>
        </w:numPr>
      </w:pPr>
      <w:r w:rsidRPr="0055427F">
        <w:t>Carry out health &amp; safety audits, inspections, and site visits</w:t>
      </w:r>
    </w:p>
    <w:p w14:paraId="6ABCFD93" w14:textId="77777777" w:rsidR="0055427F" w:rsidRPr="0055427F" w:rsidRDefault="0055427F" w:rsidP="0055427F">
      <w:pPr>
        <w:numPr>
          <w:ilvl w:val="0"/>
          <w:numId w:val="5"/>
        </w:numPr>
      </w:pPr>
      <w:r w:rsidRPr="0055427F">
        <w:t>Request evidence of:</w:t>
      </w:r>
    </w:p>
    <w:p w14:paraId="6F58CDC3" w14:textId="77777777" w:rsidR="0055427F" w:rsidRPr="0055427F" w:rsidRDefault="0055427F" w:rsidP="0055427F">
      <w:pPr>
        <w:numPr>
          <w:ilvl w:val="1"/>
          <w:numId w:val="5"/>
        </w:numPr>
      </w:pPr>
      <w:r w:rsidRPr="0055427F">
        <w:t>Policies, procedures, training, and competence</w:t>
      </w:r>
    </w:p>
    <w:p w14:paraId="3CDA981E" w14:textId="77777777" w:rsidR="0055427F" w:rsidRPr="0055427F" w:rsidRDefault="0055427F" w:rsidP="0055427F">
      <w:pPr>
        <w:numPr>
          <w:ilvl w:val="1"/>
          <w:numId w:val="5"/>
        </w:numPr>
      </w:pPr>
      <w:r w:rsidRPr="0055427F">
        <w:t>Accident statistics and improvement actions</w:t>
      </w:r>
    </w:p>
    <w:p w14:paraId="290A8E7E" w14:textId="77777777" w:rsidR="0055427F" w:rsidRPr="0055427F" w:rsidRDefault="0055427F" w:rsidP="0055427F">
      <w:pPr>
        <w:numPr>
          <w:ilvl w:val="0"/>
          <w:numId w:val="5"/>
        </w:numPr>
      </w:pPr>
      <w:r w:rsidRPr="0055427F">
        <w:t>Require remedial action where standards are not met</w:t>
      </w:r>
    </w:p>
    <w:p w14:paraId="15093837" w14:textId="77777777" w:rsidR="0055427F" w:rsidRPr="0055427F" w:rsidRDefault="0055427F" w:rsidP="0055427F">
      <w:r w:rsidRPr="0055427F">
        <w:t>Persistent or serious health &amp; safety failures may result in suspension of works, removal from site, contract termination, or exclusion from future procurement opportunities.</w:t>
      </w:r>
    </w:p>
    <w:p w14:paraId="294B5136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t>7. Continuous Improvement</w:t>
      </w:r>
    </w:p>
    <w:p w14:paraId="497746EE" w14:textId="77777777" w:rsidR="0055427F" w:rsidRPr="0055427F" w:rsidRDefault="0055427F" w:rsidP="0055427F">
      <w:r w:rsidRPr="0055427F">
        <w:t>Suppliers are expected to:</w:t>
      </w:r>
    </w:p>
    <w:p w14:paraId="7FE8E8C8" w14:textId="77777777" w:rsidR="0055427F" w:rsidRPr="0055427F" w:rsidRDefault="0055427F" w:rsidP="0055427F">
      <w:pPr>
        <w:numPr>
          <w:ilvl w:val="0"/>
          <w:numId w:val="6"/>
        </w:numPr>
      </w:pPr>
      <w:r w:rsidRPr="0055427F">
        <w:t>Promote a positive health &amp; safety culture</w:t>
      </w:r>
    </w:p>
    <w:p w14:paraId="25373612" w14:textId="77777777" w:rsidR="0055427F" w:rsidRPr="0055427F" w:rsidRDefault="0055427F" w:rsidP="0055427F">
      <w:pPr>
        <w:numPr>
          <w:ilvl w:val="0"/>
          <w:numId w:val="6"/>
        </w:numPr>
      </w:pPr>
      <w:r w:rsidRPr="0055427F">
        <w:t>Encourage safe behaviours and proactive risk management</w:t>
      </w:r>
    </w:p>
    <w:p w14:paraId="52221C4A" w14:textId="77777777" w:rsidR="0055427F" w:rsidRPr="0055427F" w:rsidRDefault="0055427F" w:rsidP="0055427F">
      <w:pPr>
        <w:numPr>
          <w:ilvl w:val="0"/>
          <w:numId w:val="6"/>
        </w:numPr>
      </w:pPr>
      <w:r w:rsidRPr="0055427F">
        <w:t>Learn from incidents and share lessons learned</w:t>
      </w:r>
    </w:p>
    <w:p w14:paraId="01A4353A" w14:textId="77777777" w:rsidR="0055427F" w:rsidRPr="0055427F" w:rsidRDefault="0055427F" w:rsidP="0055427F">
      <w:pPr>
        <w:numPr>
          <w:ilvl w:val="0"/>
          <w:numId w:val="6"/>
        </w:numPr>
      </w:pPr>
      <w:r w:rsidRPr="0055427F">
        <w:t>Continually improve health &amp; safety performance over the life of the contract</w:t>
      </w:r>
    </w:p>
    <w:p w14:paraId="2FDBF161" w14:textId="77777777" w:rsidR="0055427F" w:rsidRPr="0055427F" w:rsidRDefault="0055427F" w:rsidP="0055427F">
      <w:pPr>
        <w:rPr>
          <w:b/>
          <w:bCs/>
        </w:rPr>
      </w:pPr>
      <w:r w:rsidRPr="0055427F">
        <w:rPr>
          <w:b/>
          <w:bCs/>
        </w:rPr>
        <w:t>8. Zero Tolerance</w:t>
      </w:r>
    </w:p>
    <w:p w14:paraId="23C7D106" w14:textId="53438D37" w:rsidR="0055427F" w:rsidRPr="0055427F" w:rsidRDefault="0055427F" w:rsidP="0055427F">
      <w:r w:rsidRPr="0055427F">
        <w:t>STAR Housing operates a zero-tolerance approach to:</w:t>
      </w:r>
    </w:p>
    <w:p w14:paraId="43AA868B" w14:textId="77777777" w:rsidR="0055427F" w:rsidRPr="0055427F" w:rsidRDefault="0055427F" w:rsidP="0055427F">
      <w:pPr>
        <w:numPr>
          <w:ilvl w:val="0"/>
          <w:numId w:val="7"/>
        </w:numPr>
      </w:pPr>
      <w:r w:rsidRPr="0055427F">
        <w:t>Unsafe working practices</w:t>
      </w:r>
    </w:p>
    <w:p w14:paraId="7FF85CE5" w14:textId="77777777" w:rsidR="0055427F" w:rsidRPr="0055427F" w:rsidRDefault="0055427F" w:rsidP="0055427F">
      <w:pPr>
        <w:numPr>
          <w:ilvl w:val="0"/>
          <w:numId w:val="7"/>
        </w:numPr>
      </w:pPr>
      <w:r w:rsidRPr="0055427F">
        <w:t>Wilful disregard for health &amp; safety requirements</w:t>
      </w:r>
    </w:p>
    <w:p w14:paraId="7610AFFB" w14:textId="77777777" w:rsidR="0055427F" w:rsidRPr="0055427F" w:rsidRDefault="0055427F" w:rsidP="0055427F">
      <w:pPr>
        <w:numPr>
          <w:ilvl w:val="0"/>
          <w:numId w:val="7"/>
        </w:numPr>
      </w:pPr>
      <w:r w:rsidRPr="0055427F">
        <w:t>Failure to protect residents, staff, or the public</w:t>
      </w:r>
    </w:p>
    <w:p w14:paraId="793C1482" w14:textId="77777777" w:rsidR="0055427F" w:rsidRPr="0055427F" w:rsidRDefault="0055427F" w:rsidP="0055427F">
      <w:r w:rsidRPr="0055427F">
        <w:t>Health &amp; Safety performance is a key factor in supplier selection, contract management, and ongoing performance review.</w:t>
      </w:r>
    </w:p>
    <w:p w14:paraId="662A69E2" w14:textId="77777777" w:rsidR="00391A56" w:rsidRDefault="00391A56"/>
    <w:sectPr w:rsidR="00391A5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245F0" w14:textId="77777777" w:rsidR="00187BD5" w:rsidRDefault="00187BD5" w:rsidP="0055427F">
      <w:pPr>
        <w:spacing w:after="0" w:line="240" w:lineRule="auto"/>
      </w:pPr>
      <w:r>
        <w:separator/>
      </w:r>
    </w:p>
  </w:endnote>
  <w:endnote w:type="continuationSeparator" w:id="0">
    <w:p w14:paraId="483BA853" w14:textId="77777777" w:rsidR="00187BD5" w:rsidRDefault="00187BD5" w:rsidP="0055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111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34B5A" w14:textId="1FE9583C" w:rsidR="0055427F" w:rsidRDefault="005542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E7A38" w14:textId="77777777" w:rsidR="0055427F" w:rsidRDefault="00554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EE985" w14:textId="77777777" w:rsidR="00187BD5" w:rsidRDefault="00187BD5" w:rsidP="0055427F">
      <w:pPr>
        <w:spacing w:after="0" w:line="240" w:lineRule="auto"/>
      </w:pPr>
      <w:r>
        <w:separator/>
      </w:r>
    </w:p>
  </w:footnote>
  <w:footnote w:type="continuationSeparator" w:id="0">
    <w:p w14:paraId="67544F56" w14:textId="77777777" w:rsidR="00187BD5" w:rsidRDefault="00187BD5" w:rsidP="0055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F3D5" w14:textId="42725B45" w:rsidR="0055427F" w:rsidRDefault="005542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EED666" wp14:editId="1ACC0D82">
          <wp:simplePos x="0" y="0"/>
          <wp:positionH relativeFrom="column">
            <wp:posOffset>4320540</wp:posOffset>
          </wp:positionH>
          <wp:positionV relativeFrom="paragraph">
            <wp:posOffset>-251460</wp:posOffset>
          </wp:positionV>
          <wp:extent cx="1211580" cy="640080"/>
          <wp:effectExtent l="0" t="0" r="7620" b="7620"/>
          <wp:wrapTight wrapText="bothSides">
            <wp:wrapPolygon edited="0">
              <wp:start x="0" y="0"/>
              <wp:lineTo x="0" y="21214"/>
              <wp:lineTo x="21396" y="21214"/>
              <wp:lineTo x="21396" y="0"/>
              <wp:lineTo x="0" y="0"/>
            </wp:wrapPolygon>
          </wp:wrapTight>
          <wp:docPr id="1910574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DB6"/>
    <w:multiLevelType w:val="multilevel"/>
    <w:tmpl w:val="7FCC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E4784"/>
    <w:multiLevelType w:val="multilevel"/>
    <w:tmpl w:val="AE74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204FD"/>
    <w:multiLevelType w:val="multilevel"/>
    <w:tmpl w:val="00F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24F17"/>
    <w:multiLevelType w:val="multilevel"/>
    <w:tmpl w:val="B8E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C45AE"/>
    <w:multiLevelType w:val="multilevel"/>
    <w:tmpl w:val="A99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93B5D"/>
    <w:multiLevelType w:val="multilevel"/>
    <w:tmpl w:val="502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23A43"/>
    <w:multiLevelType w:val="multilevel"/>
    <w:tmpl w:val="D0C8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7F"/>
    <w:rsid w:val="00187BD5"/>
    <w:rsid w:val="001E1A2B"/>
    <w:rsid w:val="001F2CE3"/>
    <w:rsid w:val="00206BC5"/>
    <w:rsid w:val="00391A56"/>
    <w:rsid w:val="0043393B"/>
    <w:rsid w:val="0055427F"/>
    <w:rsid w:val="0056428E"/>
    <w:rsid w:val="006F43BF"/>
    <w:rsid w:val="007B49B1"/>
    <w:rsid w:val="00911BBE"/>
    <w:rsid w:val="00AC4962"/>
    <w:rsid w:val="00BD5851"/>
    <w:rsid w:val="00C10746"/>
    <w:rsid w:val="00D0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8C40"/>
  <w15:chartTrackingRefBased/>
  <w15:docId w15:val="{4FE8E9FB-4593-4BAF-AC63-707DE72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2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7F"/>
  </w:style>
  <w:style w:type="paragraph" w:styleId="Footer">
    <w:name w:val="footer"/>
    <w:basedOn w:val="Normal"/>
    <w:link w:val="FooterChar"/>
    <w:uiPriority w:val="99"/>
    <w:unhideWhenUsed/>
    <w:rsid w:val="005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7F"/>
  </w:style>
  <w:style w:type="character" w:styleId="Strong">
    <w:name w:val="Strong"/>
    <w:basedOn w:val="DefaultParagraphFont"/>
    <w:uiPriority w:val="22"/>
    <w:qFormat/>
    <w:rsid w:val="006F4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26130-445a-4821-8ab7-229532cd0f2f" xsi:nil="true"/>
    <lcf76f155ced4ddcb4097134ff3c332f xmlns="474d7909-07b7-41dc-bb13-1b55f5136c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A14116645C645A8C280EC56DEE134" ma:contentTypeVersion="13" ma:contentTypeDescription="Create a new document." ma:contentTypeScope="" ma:versionID="c4a0c3a91c4b28f60ec4e192b60314f4">
  <xsd:schema xmlns:xsd="http://www.w3.org/2001/XMLSchema" xmlns:xs="http://www.w3.org/2001/XMLSchema" xmlns:p="http://schemas.microsoft.com/office/2006/metadata/properties" xmlns:ns2="474d7909-07b7-41dc-bb13-1b55f5136c91" xmlns:ns3="fe726130-445a-4821-8ab7-229532cd0f2f" targetNamespace="http://schemas.microsoft.com/office/2006/metadata/properties" ma:root="true" ma:fieldsID="d7b2020011836fcff816405c1831dedf" ns2:_="" ns3:_="">
    <xsd:import namespace="474d7909-07b7-41dc-bb13-1b55f5136c91"/>
    <xsd:import namespace="fe726130-445a-4821-8ab7-229532cd0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d7909-07b7-41dc-bb13-1b55f5136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d053d7-5efd-4a40-9693-a517d4392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26130-445a-4821-8ab7-229532cd0f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1b04c1-895e-4cb9-9fe6-896a65377a80}" ma:internalName="TaxCatchAll" ma:showField="CatchAllData" ma:web="fe726130-445a-4821-8ab7-229532cd0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1E2B9C935EF40B03364F70332775D" ma:contentTypeVersion="18" ma:contentTypeDescription="Create a new document." ma:contentTypeScope="" ma:versionID="c80468228a148b06e6fd0c34d774810c">
  <xsd:schema xmlns:xsd="http://www.w3.org/2001/XMLSchema" xmlns:xs="http://www.w3.org/2001/XMLSchema" xmlns:p="http://schemas.microsoft.com/office/2006/metadata/properties" xmlns:ns2="08a5ec7f-19e7-4354-82fa-18cae724498d" xmlns:ns3="65e6a09a-9d2e-4fd7-9cbc-1c65274b11aa" targetNamespace="http://schemas.microsoft.com/office/2006/metadata/properties" ma:root="true" ma:fieldsID="5931029d3282090ae6f3e66a04ef82fe" ns2:_="" ns3:_="">
    <xsd:import namespace="08a5ec7f-19e7-4354-82fa-18cae724498d"/>
    <xsd:import namespace="65e6a09a-9d2e-4fd7-9cbc-1c65274b11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5ec7f-19e7-4354-82fa-18cae72449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693bf29-9ebb-4800-a6d6-e0954da24bc0}" ma:internalName="TaxCatchAll" ma:showField="CatchAllData" ma:web="08a5ec7f-19e7-4354-82fa-18cae7244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6a09a-9d2e-4fd7-9cbc-1c65274b1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64c82-7a4b-42c6-aa6f-bd38c9566c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8C1A1-821C-4CA0-AB91-A08C6DEC09C7}">
  <ds:schemaRefs>
    <ds:schemaRef ds:uri="http://schemas.microsoft.com/office/2006/metadata/properties"/>
    <ds:schemaRef ds:uri="http://schemas.microsoft.com/office/infopath/2007/PartnerControls"/>
    <ds:schemaRef ds:uri="08a5ec7f-19e7-4354-82fa-18cae724498d"/>
    <ds:schemaRef ds:uri="65e6a09a-9d2e-4fd7-9cbc-1c65274b11aa"/>
  </ds:schemaRefs>
</ds:datastoreItem>
</file>

<file path=customXml/itemProps2.xml><?xml version="1.0" encoding="utf-8"?>
<ds:datastoreItem xmlns:ds="http://schemas.openxmlformats.org/officeDocument/2006/customXml" ds:itemID="{268CFE79-7357-4806-BD9F-31C10725F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69E98-1CE7-41E9-A363-1C1AA9A1836D}"/>
</file>

<file path=customXml/itemProps4.xml><?xml version="1.0" encoding="utf-8"?>
<ds:datastoreItem xmlns:ds="http://schemas.openxmlformats.org/officeDocument/2006/customXml" ds:itemID="{9DB285B2-5819-4EEA-9187-0FA9BAAF9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5ec7f-19e7-4354-82fa-18cae724498d"/>
    <ds:schemaRef ds:uri="65e6a09a-9d2e-4fd7-9cbc-1c65274b1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Stephens</dc:creator>
  <cp:keywords/>
  <dc:description/>
  <cp:lastModifiedBy>Emily Parry</cp:lastModifiedBy>
  <cp:revision>2</cp:revision>
  <dcterms:created xsi:type="dcterms:W3CDTF">2026-01-22T09:32:00Z</dcterms:created>
  <dcterms:modified xsi:type="dcterms:W3CDTF">2026-01-22T09:32:00Z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0x010100AC8A14116645C645A8C280EC56DEE134</vt:lpwstr>
  </property>
  <property fmtid="{D5CDD505-2E9C-101B-9397-08002B2CF9AE}" pid="3" name="_dlc_DocIdItemGuid">
    <vt:lpwstr>7b0c3b21-c538-4de4-8f0e-a2ed50eac58b</vt:lpwstr>
  </property>
  <property fmtid="{D5CDD505-2E9C-101B-9397-08002B2CF9AE}" pid="4" name="MediaServiceImageTags">
    <vt:lpwstr/>
  </property>
</Properties>
</file>